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94" w:rsidRDefault="00AA4F94" w:rsidP="00AA4F94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</w:rPr>
        <w:t xml:space="preserve">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МИНИСТЕРСТВО ОБРАЗОВАНИЯ РОССИЙСКОЙ ФЕДЕРАЦИИ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УЛЬЯНОВСКИЙ ГОСУДАРСТВЕННЫЙ ТЕХНИЧЕСКИЙ УНИВЕРСИТЕТ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 w:line="360" w:lineRule="auto"/>
        <w:ind w:firstLine="720"/>
        <w:jc w:val="left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 w:line="360" w:lineRule="auto"/>
        <w:ind w:firstLine="720"/>
        <w:jc w:val="left"/>
        <w:rPr>
          <w:rFonts w:ascii="Times New Roman CYR" w:hAnsi="Times New Roman CYR" w:cs="Times New Roman CYR"/>
          <w:sz w:val="32"/>
          <w:szCs w:val="32"/>
        </w:rPr>
      </w:pP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ВЫПУСКНАЯ РАБОТА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sz w:val="32"/>
          <w:szCs w:val="32"/>
        </w:rPr>
        <w:t xml:space="preserve"> Тема: «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Бизнес-план инвестиционного проекта»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 w:line="360" w:lineRule="auto"/>
        <w:ind w:firstLine="720"/>
        <w:jc w:val="left"/>
        <w:rPr>
          <w:rFonts w:ascii="Times New Roman CYR" w:hAnsi="Times New Roman CYR" w:cs="Times New Roman CYR"/>
          <w:sz w:val="32"/>
          <w:szCs w:val="32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 w:line="360" w:lineRule="auto"/>
        <w:ind w:firstLine="720"/>
        <w:jc w:val="left"/>
        <w:rPr>
          <w:rFonts w:ascii="Times New Roman CYR" w:hAnsi="Times New Roman CYR" w:cs="Times New Roman CYR"/>
          <w:sz w:val="32"/>
          <w:szCs w:val="32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480" w:lineRule="auto"/>
        <w:jc w:val="left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 xml:space="preserve">Студентка              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Котелева Маргарита Александровна__________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480" w:lineRule="auto"/>
        <w:jc w:val="left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>Научный руководитель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Волкова Елена Александровна</w:t>
      </w:r>
      <w:r>
        <w:rPr>
          <w:rFonts w:ascii="Times New Roman CYR" w:hAnsi="Times New Roman CYR" w:cs="Times New Roman CYR"/>
        </w:rPr>
        <w:tab/>
        <w:t>__________</w:t>
      </w:r>
    </w:p>
    <w:p w:rsidR="00AA4F94" w:rsidRDefault="00AA4F94" w:rsidP="00AA4F94">
      <w:pPr>
        <w:autoSpaceDE w:val="0"/>
        <w:autoSpaceDN w:val="0"/>
        <w:adjustRightInd w:val="0"/>
        <w:spacing w:line="480" w:lineRule="auto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Рецензент     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Аксенова Анна Дмитриевна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__________</w:t>
      </w:r>
    </w:p>
    <w:p w:rsidR="00AA4F94" w:rsidRDefault="00AA4F94" w:rsidP="00AA4F94">
      <w:pPr>
        <w:tabs>
          <w:tab w:val="left" w:pos="8789"/>
        </w:tabs>
        <w:autoSpaceDE w:val="0"/>
        <w:autoSpaceDN w:val="0"/>
        <w:adjustRightInd w:val="0"/>
        <w:spacing w:before="100" w:after="100"/>
        <w:ind w:firstLine="6096"/>
        <w:jc w:val="left"/>
        <w:rPr>
          <w:rFonts w:ascii="Times New Roman CYR" w:hAnsi="Times New Roman CYR" w:cs="Times New Roman CYR"/>
        </w:rPr>
      </w:pPr>
    </w:p>
    <w:p w:rsidR="00AA4F94" w:rsidRDefault="00AA4F94" w:rsidP="00AA4F94">
      <w:pPr>
        <w:tabs>
          <w:tab w:val="left" w:pos="8789"/>
        </w:tabs>
        <w:autoSpaceDE w:val="0"/>
        <w:autoSpaceDN w:val="0"/>
        <w:adjustRightInd w:val="0"/>
        <w:spacing w:before="100" w:after="100"/>
        <w:ind w:firstLine="6096"/>
        <w:jc w:val="left"/>
        <w:rPr>
          <w:rFonts w:ascii="Times New Roman CYR" w:hAnsi="Times New Roman CYR" w:cs="Times New Roman CYR"/>
        </w:rPr>
      </w:pPr>
    </w:p>
    <w:p w:rsidR="00AA4F94" w:rsidRDefault="00AA4F94" w:rsidP="00AA4F94">
      <w:pPr>
        <w:tabs>
          <w:tab w:val="left" w:pos="8789"/>
        </w:tabs>
        <w:autoSpaceDE w:val="0"/>
        <w:autoSpaceDN w:val="0"/>
        <w:adjustRightInd w:val="0"/>
        <w:spacing w:before="100" w:after="100"/>
        <w:ind w:firstLine="6096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Допустить к защите ГАК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720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Зав. кафедрой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720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_____________________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720"/>
        <w:jc w:val="left"/>
        <w:rPr>
          <w:rFonts w:ascii="Times New Roman CYR" w:hAnsi="Times New Roman CYR" w:cs="Times New Roman CYR"/>
          <w:vertAlign w:val="superscript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</w:t>
      </w:r>
      <w:r>
        <w:rPr>
          <w:rFonts w:ascii="Times New Roman CYR" w:hAnsi="Times New Roman CYR" w:cs="Times New Roman CYR"/>
          <w:vertAlign w:val="superscript"/>
        </w:rPr>
        <w:t>(Ф.И.О.)</w:t>
      </w:r>
    </w:p>
    <w:p w:rsidR="00AA4F94" w:rsidRDefault="00AA4F94" w:rsidP="00AA4F94">
      <w:pPr>
        <w:widowControl w:val="0"/>
        <w:tabs>
          <w:tab w:val="left" w:pos="8505"/>
        </w:tabs>
        <w:autoSpaceDE w:val="0"/>
        <w:autoSpaceDN w:val="0"/>
        <w:adjustRightInd w:val="0"/>
        <w:spacing w:before="100" w:after="100"/>
        <w:ind w:firstLine="720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«___»___________2002 г.</w:t>
      </w:r>
    </w:p>
    <w:p w:rsidR="00AA4F94" w:rsidRDefault="00AA4F94" w:rsidP="00AA4F94">
      <w:pPr>
        <w:widowControl w:val="0"/>
        <w:tabs>
          <w:tab w:val="left" w:pos="8505"/>
        </w:tabs>
        <w:autoSpaceDE w:val="0"/>
        <w:autoSpaceDN w:val="0"/>
        <w:adjustRightInd w:val="0"/>
        <w:spacing w:before="100" w:after="100" w:line="360" w:lineRule="auto"/>
        <w:ind w:firstLine="720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tabs>
          <w:tab w:val="left" w:pos="8505"/>
        </w:tabs>
        <w:autoSpaceDE w:val="0"/>
        <w:autoSpaceDN w:val="0"/>
        <w:adjustRightInd w:val="0"/>
        <w:spacing w:before="100" w:after="100" w:line="360" w:lineRule="auto"/>
        <w:ind w:firstLine="720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tabs>
          <w:tab w:val="left" w:pos="8505"/>
        </w:tabs>
        <w:autoSpaceDE w:val="0"/>
        <w:autoSpaceDN w:val="0"/>
        <w:adjustRightInd w:val="0"/>
        <w:spacing w:before="100" w:after="100" w:line="360" w:lineRule="auto"/>
        <w:ind w:firstLine="720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tabs>
          <w:tab w:val="left" w:pos="8505"/>
        </w:tabs>
        <w:autoSpaceDE w:val="0"/>
        <w:autoSpaceDN w:val="0"/>
        <w:adjustRightInd w:val="0"/>
        <w:spacing w:before="100" w:after="100" w:line="360" w:lineRule="auto"/>
        <w:ind w:firstLine="720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tabs>
          <w:tab w:val="left" w:pos="8505"/>
        </w:tabs>
        <w:autoSpaceDE w:val="0"/>
        <w:autoSpaceDN w:val="0"/>
        <w:adjustRightInd w:val="0"/>
        <w:spacing w:before="100" w:after="100"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Ульяновск  2002 г.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br w:type="page"/>
      </w:r>
      <w:r>
        <w:rPr>
          <w:rFonts w:ascii="Times New Roman CYR" w:hAnsi="Times New Roman CYR" w:cs="Times New Roman CYR"/>
          <w:b/>
          <w:bCs/>
        </w:rPr>
        <w:lastRenderedPageBreak/>
        <w:t>Содержание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                                                стр.</w:t>
      </w:r>
    </w:p>
    <w:tbl>
      <w:tblPr>
        <w:tblW w:w="0" w:type="auto"/>
        <w:tblLayout w:type="fixed"/>
        <w:tblLook w:val="0000"/>
      </w:tblPr>
      <w:tblGrid>
        <w:gridCol w:w="9039"/>
        <w:gridCol w:w="675"/>
      </w:tblGrid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Введение……………………………………………………………………….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Глава 1. Бизнес-план как инструмент управления предприятием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1.1  Планирование как функция управления…. ……………….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1.2  Понятие и назначение бизнес-плана……………………….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1.3  Оценка существующих методик разработки бизнес-плана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1.4  Общая характеристика и содержание бизнес-плана………..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Глава 2. Бизнес-план ОАО ПК “Витязь”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2.1    Резюме………………………………………………………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2.2    Краткая информация о предприятии………………….….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2.2.1 История предприятия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2.2.2 Организация предприятия …………………………….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2.2.3 Информация о персонале………… 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2.2.4 Характеристика продукции и программ поставок……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2.3    Коммерческая идея, стратегия и цели предприятия……….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2.3.1 Коммерческая идея…………………………………..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2.3.2 Стратегии и цели предприятия ……………………..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2.4  Анализ рынка  и планирование маркетинга…………………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2.4.1 Количественные показатели рынка……………………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2.4.2 Качественные показатели рынка …………………...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2.4.3 Конкуренция ……………………………………………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2.4.4 Планирование маркетинга……………………………...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2.5  План производства, план расчета прибылей/убытков….…...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134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2.6  Потребность в инвестициях и финансирование проекта……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before="60" w:after="60"/>
              <w:ind w:firstLine="1701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2.6.1 Расчет финансового потока и сводный баланс движения  имущества и капитала ……………………………………………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Заключение…………………………………………………………………….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Список используемой литературы…………………………………………...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Приложения……………………………………………………………………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decimal" w:pos="317"/>
              </w:tabs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 CYR" w:hAnsi="Times New Roman CYR" w:cs="Times New Roman CYR"/>
              </w:rPr>
            </w:pP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</w:rPr>
        <w:br w:type="page"/>
      </w: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Введение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Актуальность исследования бизнес-планирования заключается  в том, что в условиях рынка нереально добиться стабильного успеха в биз</w:t>
      </w:r>
      <w:r>
        <w:rPr>
          <w:rFonts w:ascii="Times New Roman CYR" w:hAnsi="Times New Roman CYR" w:cs="Times New Roman CYR"/>
        </w:rPr>
        <w:softHyphen/>
        <w:t>несе, если не планировать эффективно его развитие, не аккумулиро</w:t>
      </w:r>
      <w:r>
        <w:rPr>
          <w:rFonts w:ascii="Times New Roman CYR" w:hAnsi="Times New Roman CYR" w:cs="Times New Roman CYR"/>
        </w:rPr>
        <w:softHyphen/>
        <w:t>вать постоянно информацию о собственных перспективах и возмож</w:t>
      </w:r>
      <w:r>
        <w:rPr>
          <w:rFonts w:ascii="Times New Roman CYR" w:hAnsi="Times New Roman CYR" w:cs="Times New Roman CYR"/>
        </w:rPr>
        <w:softHyphen/>
        <w:t>ностях, о состоянии целевых рынков, положении на них конкурентов и т.д.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Необходимо точно представлять свои потребности на перспективу не только в материальных, трудовых, интеллектуальных, но и в фи</w:t>
      </w:r>
      <w:r>
        <w:rPr>
          <w:rFonts w:ascii="Times New Roman CYR" w:hAnsi="Times New Roman CYR" w:cs="Times New Roman CYR"/>
        </w:rPr>
        <w:softHyphen/>
        <w:t>нансовых ресурсах, что особенно существенно в рыночной экономике. Важно предусмотреть и источники их получения, уметь выявлять эффективность использования ресурсов в процессе работы предприя</w:t>
      </w:r>
      <w:r>
        <w:rPr>
          <w:rFonts w:ascii="Times New Roman CYR" w:hAnsi="Times New Roman CYR" w:cs="Times New Roman CYR"/>
        </w:rPr>
        <w:softHyphen/>
        <w:t>тия. Обширный опыт зарубежных и российских предприятий доказывает, что недооценка планирования предпринимательской дея</w:t>
      </w:r>
      <w:r>
        <w:rPr>
          <w:rFonts w:ascii="Times New Roman CYR" w:hAnsi="Times New Roman CYR" w:cs="Times New Roman CYR"/>
        </w:rPr>
        <w:softHyphen/>
        <w:t>тельности в условиях рынка, его игнорирование или некомпетентное осуществление приводят к огромным экономическим потерям и, в ко</w:t>
      </w:r>
      <w:r>
        <w:rPr>
          <w:rFonts w:ascii="Times New Roman CYR" w:hAnsi="Times New Roman CYR" w:cs="Times New Roman CYR"/>
        </w:rPr>
        <w:softHyphen/>
        <w:t>нечном счете, к банкротству.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Планирование имеет особую значимость для достижения высокой результа</w:t>
      </w:r>
      <w:r>
        <w:rPr>
          <w:rFonts w:ascii="Times New Roman CYR" w:hAnsi="Times New Roman CYR" w:cs="Times New Roman CYR"/>
        </w:rPr>
        <w:softHyphen/>
        <w:t>тивности бизнеса, создания условий, обеспечивающих платежеспособ</w:t>
      </w:r>
      <w:r>
        <w:rPr>
          <w:rFonts w:ascii="Times New Roman CYR" w:hAnsi="Times New Roman CYR" w:cs="Times New Roman CYR"/>
        </w:rPr>
        <w:softHyphen/>
        <w:t>ность и финансовую устойчивость предприятия.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Главная цель, которую преследует предприятие - достижение максимума прибыли при минимуме затрат. План фирмы способствует решению этой задачи, определяя наиболее выгодные источники фи</w:t>
      </w:r>
      <w:r>
        <w:rPr>
          <w:rFonts w:ascii="Times New Roman CYR" w:hAnsi="Times New Roman CYR" w:cs="Times New Roman CYR"/>
        </w:rPr>
        <w:softHyphen/>
        <w:t>нансирования и рациональные направления расходования средств, обеспечивая устойчивое положение предприятия на рынке.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Отдельные предприятия способны добиться некоторого успеха, не затрачивая большого труда на планирование. Планирование само по себе не гарантирует успеха. Но планирование может обеспечить немало важных и благоприятных факторов для предприятия.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Планирование обеспечивает основу для принятия эффек</w:t>
      </w:r>
      <w:r>
        <w:rPr>
          <w:rFonts w:ascii="Times New Roman CYR" w:hAnsi="Times New Roman CYR" w:cs="Times New Roman CYR"/>
        </w:rPr>
        <w:softHyphen/>
        <w:t>тивных управленческих решений. Планиро</w:t>
      </w:r>
      <w:r>
        <w:rPr>
          <w:rFonts w:ascii="Times New Roman CYR" w:hAnsi="Times New Roman CYR" w:cs="Times New Roman CYR"/>
        </w:rPr>
        <w:softHyphen/>
        <w:t>вание способствует снижению рисков при принятии решений. Прини</w:t>
      </w:r>
      <w:r>
        <w:rPr>
          <w:rFonts w:ascii="Times New Roman CYR" w:hAnsi="Times New Roman CYR" w:cs="Times New Roman CYR"/>
        </w:rPr>
        <w:softHyphen/>
        <w:t>мая обоснованные плановые решения, руководство уменьшает риск ошибок, обусловленных ошибочной или недостоверной информацией о возможностях предприятия или о внешней ситуации. Планирование служит для формулирования и достижения ключевых целей в рамках организации.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“Бизнес-план выступает как объективная оценка результатов ры</w:t>
      </w:r>
      <w:r>
        <w:rPr>
          <w:rFonts w:ascii="Times New Roman CYR" w:hAnsi="Times New Roman CYR" w:cs="Times New Roman CYR"/>
        </w:rPr>
        <w:softHyphen/>
        <w:t>ночной деятельности компании и, в то же время как необходимый ин</w:t>
      </w:r>
      <w:r>
        <w:rPr>
          <w:rFonts w:ascii="Times New Roman CYR" w:hAnsi="Times New Roman CYR" w:cs="Times New Roman CYR"/>
        </w:rPr>
        <w:softHyphen/>
        <w:t>струмент проектно-инвестиционных решений в соответствии с потреб</w:t>
      </w:r>
      <w:r>
        <w:rPr>
          <w:rFonts w:ascii="Times New Roman CYR" w:hAnsi="Times New Roman CYR" w:cs="Times New Roman CYR"/>
        </w:rPr>
        <w:softHyphen/>
        <w:t>ностями рынка. В плане характеризуются основные аспекты предприятия, анализируются проблемы, с которыми оно сталкивается, и определяются пути и методы их решения. Отсюда бизнес-план выступает одновременно в качестве поисковой, научно-исследовательской и проектной работы” /15/.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“Бизнес-план – многоплановый управленческий инструмент. Он предусматривает решение как стратегических, так и тактических задач, стоящих перед предприятием, независимо от его функциональ</w:t>
      </w:r>
      <w:r>
        <w:rPr>
          <w:rFonts w:ascii="Times New Roman CYR" w:hAnsi="Times New Roman CYR" w:cs="Times New Roman CYR"/>
        </w:rPr>
        <w:softHyphen/>
        <w:t>ной ориентации, в том числе: организационно-управленческая и фи</w:t>
      </w:r>
      <w:r>
        <w:rPr>
          <w:rFonts w:ascii="Times New Roman CYR" w:hAnsi="Times New Roman CYR" w:cs="Times New Roman CYR"/>
        </w:rPr>
        <w:softHyphen/>
        <w:t>нансово-экономическая оценка состояния предприятия; выявление по</w:t>
      </w:r>
      <w:r>
        <w:rPr>
          <w:rFonts w:ascii="Times New Roman CYR" w:hAnsi="Times New Roman CYR" w:cs="Times New Roman CYR"/>
        </w:rPr>
        <w:softHyphen/>
        <w:t>тенциальных возможностей бизнеса, анализ сильных и слабых его сторон; формирование инвестиционных целей на планируемый пери</w:t>
      </w:r>
      <w:r>
        <w:rPr>
          <w:rFonts w:ascii="Times New Roman CYR" w:hAnsi="Times New Roman CYR" w:cs="Times New Roman CYR"/>
        </w:rPr>
        <w:softHyphen/>
        <w:t>од” /24/.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бизнес-плане обосновываются общие и специфические элемен</w:t>
      </w:r>
      <w:r>
        <w:rPr>
          <w:rFonts w:ascii="Times New Roman CYR" w:hAnsi="Times New Roman CYR" w:cs="Times New Roman CYR"/>
        </w:rPr>
        <w:softHyphen/>
        <w:t>ты функционирования предприятия в условиях рынка, выбор страте</w:t>
      </w:r>
      <w:r>
        <w:rPr>
          <w:rFonts w:ascii="Times New Roman CYR" w:hAnsi="Times New Roman CYR" w:cs="Times New Roman CYR"/>
        </w:rPr>
        <w:softHyphen/>
        <w:t>гии и тактики конкуренции, проводится оценка финансовых, матери</w:t>
      </w:r>
      <w:r>
        <w:rPr>
          <w:rFonts w:ascii="Times New Roman CYR" w:hAnsi="Times New Roman CYR" w:cs="Times New Roman CYR"/>
        </w:rPr>
        <w:softHyphen/>
        <w:t>альных, трудовых ресурсов, необходимых для достижения целей предприятия.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Бизнес-план обеспечивает объективное представление о возмож</w:t>
      </w:r>
      <w:r>
        <w:rPr>
          <w:rFonts w:ascii="Times New Roman CYR" w:hAnsi="Times New Roman CYR" w:cs="Times New Roman CYR"/>
        </w:rPr>
        <w:softHyphen/>
        <w:t>ностях развития производства, способах продвижения товара на ры</w:t>
      </w:r>
      <w:r>
        <w:rPr>
          <w:rFonts w:ascii="Times New Roman CYR" w:hAnsi="Times New Roman CYR" w:cs="Times New Roman CYR"/>
        </w:rPr>
        <w:softHyphen/>
        <w:t xml:space="preserve">нок, ценах, возможной прибыли, основных финансово-экономических результатах </w:t>
      </w:r>
      <w:r>
        <w:rPr>
          <w:rFonts w:ascii="Times New Roman CYR" w:hAnsi="Times New Roman CYR" w:cs="Times New Roman CYR"/>
        </w:rPr>
        <w:lastRenderedPageBreak/>
        <w:t>деятельности предприятия, выявляет зоны опасностей, предлагает пути их ограничения. Подобный план используется неза</w:t>
      </w:r>
      <w:r>
        <w:rPr>
          <w:rFonts w:ascii="Times New Roman CYR" w:hAnsi="Times New Roman CYR" w:cs="Times New Roman CYR"/>
        </w:rPr>
        <w:softHyphen/>
        <w:t>висимо от сферы деятельности, масштабов, вида собственности, орга</w:t>
      </w:r>
      <w:r>
        <w:rPr>
          <w:rFonts w:ascii="Times New Roman CYR" w:hAnsi="Times New Roman CYR" w:cs="Times New Roman CYR"/>
        </w:rPr>
        <w:softHyphen/>
        <w:t>низационно-правовой формы компании. В нем находят свое решение как внутренние задачи, связанные с управлением предприятием, так и внешние, обусловленные, в частности, взаимоотношениями с другими фирмами и организациями.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постоянно преобразующемся деловом мире для бизнеса откры</w:t>
      </w:r>
      <w:r>
        <w:rPr>
          <w:rFonts w:ascii="Times New Roman CYR" w:hAnsi="Times New Roman CYR" w:cs="Times New Roman CYR"/>
        </w:rPr>
        <w:softHyphen/>
        <w:t>вается сейчас множество новых возможностей. Бизнес-планирование помогает менеджеру не упустить их и использовать для преобразова</w:t>
      </w:r>
      <w:r>
        <w:rPr>
          <w:rFonts w:ascii="Times New Roman CYR" w:hAnsi="Times New Roman CYR" w:cs="Times New Roman CYR"/>
        </w:rPr>
        <w:softHyphen/>
        <w:t xml:space="preserve">ния и повышения эффективности деятельности на рынке.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Данная работа призвана охарактеризовать не только теоретические аспекты бизнес-планирования, но и проблемы практического применения бизнес-плана в российских экономических условиях.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Объектом исследования данной выпускной работы является ОАО Пивоваренная Компания (ПК)"Витязь".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Практическая значимость данной работы заключается в том,  что выработанные рекомендации по составлению бизнес-плана ОАО ПК "Витязь" будут способствовать реализации проекта реконструкции и модернизации производства.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первой главе изложены понятие и сущность планирования в целом, и в том числе бизнес-планирования, его виды, дана характеристика содержанию бизнес-плана, охарактеризованы наиболее распространённые методики бизнес-планирования.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Во второй главе предложен бизнес-план ОАО ПК "Витязь", позволяющий решить проблемы финансирования инвестиционного проекта, целью которого является реконструкция и модернизация действующего пивоваренного производства. 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br w:type="page"/>
      </w: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Глава 1. Бизнес-план как инструмент управления предприятием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1.1 Планирование как функция управления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“Содержание внутрифирменного планирования как функции управления компанией состоит в обоснованном определении основных направлений и пропорций развития производства с учетом материальных источников его обеспечения и рыночного спроса. Сущность планирования проявляется в конкретизации целей развития всей фирмы и каждого подразделения в отдельности на установленный период времени; определении хозяйственных задач, средств их достижения, сроков и последовательности реализации; выявлении материальных, трудовых и финансовых ресурсов, необходимых для решения поставленных задач” /16/.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Таким образом, назначение планирования как функции управления состоит в стремлении заблаговременно учесть по возможности все внутренние и внешние факторы, обеспечивающие благоприятные условия для нормального функционировании и развития предприятия. Оно предусматривает разработку комплекса мероприятий, определяющих последовательность достижения конкретных целей с учетом возможностей наиболее эффективного использования ресурсов каждым производственным подразделением и всей фирмой.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Поэтому планирование призвано обеспечить взаимоувязку между отдельными структурными подразделениями фирмы, включающими всю технологическую цепочку: научные исследования и разработки, производство и сбыт, сервис. Эта деятельность опирается на выявление и прогнозирование потребительского спроса, анализ и оценку имеющихся ресурсов и перспектив развития хозяйственной конъюнктуры. Отсюда вытекает необходимость увязки планирования с маркетингом и контролем с целью постоянной корректировки </w:t>
      </w:r>
      <w:r>
        <w:rPr>
          <w:rFonts w:ascii="Times New Roman CYR" w:hAnsi="Times New Roman CYR" w:cs="Times New Roman CYR"/>
        </w:rPr>
        <w:lastRenderedPageBreak/>
        <w:t>показателей производства и сбыта вслед за изменениями спроса на рынке.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Внутрифирменное планирование охватывает как текущее, так и перспективное планирование, осуществляемое в виде прогнозирования и программирования.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Если перспективное планирование призвано определить общие стратегические цели и направления развития фирмы, необходимые для этого ресурсы и этапы решения поставленных задач, то разрабатываемые на его основе текущие планы ориентированы на фактическое достижение намеченных целей исходя из конкретных условий и состояния рынка на каждом данном этапе развития. Поэтому текущие планы дополняют, развивают и корректируют перспективные направления развития с учетом конкретной обстановки.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Уровень и качество планирования определяются следующими важнейшими условиями: компетентностью руководства фирмой на всех уровнях управления; квалификацией специалистов, работающих в функциональных подразделениях; наличием информационной базы и обеспеченностью компьютерной техникой.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“Можно выделить некоторые характерные особенности планирования в зависимости от целей:</w:t>
      </w:r>
    </w:p>
    <w:p w:rsidR="00AA4F94" w:rsidRDefault="00AA4F94" w:rsidP="00AA4F9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американских компаниях главное - это объединение стратегий всех подразделений и распределение ресурсов;</w:t>
      </w:r>
    </w:p>
    <w:p w:rsidR="00AA4F94" w:rsidRDefault="00AA4F94" w:rsidP="00AA4F9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 английских - ориентация на распределение ресурсов;</w:t>
      </w:r>
    </w:p>
    <w:p w:rsidR="00AA4F94" w:rsidRDefault="00AA4F94" w:rsidP="00AA4F9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японских - ориентация на внедрение новшеств и повышение качества решений” /5/.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Планирование предполагает: обоснованный выбор целей; определение политики; разработку мер и мероприятий (образа действий); методы достижения целей; обеспечение основы для принятия последующих долгосрочных решений.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Планирование заканчивается перед началом действий по реализации </w:t>
      </w:r>
      <w:r>
        <w:rPr>
          <w:rFonts w:ascii="Times New Roman CYR" w:hAnsi="Times New Roman CYR" w:cs="Times New Roman CYR"/>
        </w:rPr>
        <w:lastRenderedPageBreak/>
        <w:t>плана. Планирование – это начальный этап управления, однако оно представляет собой не единственный акт, а процесс, продолжающийся до завершения планируемого комплекса операций.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Планирование направлено на оптимальное использование возможностей фирмы, в том числе наилучшее использование всех видов ресурсов и предотвращение ошибочных действий.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зависимости от направленности и характера решаемых задач различают три вида планирования: стратегическое (перспективное), среднесрочное (бизнес-план), текущее (тактическое).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Стратегическое планирование заключается в основном в определении главных целей деятельности фирмы, охватывает период в 10-15 лет, основывается на глобальных ресурсах.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Текущее планирование заключается в основном в определении промежуточных целей на пути достижения стратегических целей и задач. При этом детально разрабатываются средства и способы решения задач, использование ресурсов, внедрение новой технологии.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Стратегическое планирование ставит целью дать комплексное научное обоснование проблем, с которыми может столкнуться фирма в предстоящем периоде, и не этой основе разработать показатели развития фирмы на плановый период.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основу при разработке плана кладется:</w:t>
      </w:r>
    </w:p>
    <w:p w:rsidR="00AA4F94" w:rsidRDefault="00AA4F94" w:rsidP="00AA4F94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907" w:hanging="56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перспектив развития фирмы;</w:t>
      </w:r>
    </w:p>
    <w:p w:rsidR="00AA4F94" w:rsidRDefault="00AA4F94" w:rsidP="00AA4F94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907" w:hanging="56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позиций в конкурентной борьбе;</w:t>
      </w:r>
    </w:p>
    <w:p w:rsidR="00AA4F94" w:rsidRDefault="00AA4F94" w:rsidP="00AA4F94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выбор стратегии и определение приоритетов по конкретным видам деятельности;</w:t>
      </w:r>
    </w:p>
    <w:p w:rsidR="00AA4F94" w:rsidRDefault="00AA4F94" w:rsidP="00AA4F94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907" w:hanging="56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направлений диверсификации.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“Текущие программы (бюджеты) ориентируют оперативные подразделения фирмы в их повседневной работе, направленной на обеспечение </w:t>
      </w:r>
      <w:r>
        <w:rPr>
          <w:rFonts w:ascii="Times New Roman CYR" w:hAnsi="Times New Roman CYR" w:cs="Times New Roman CYR"/>
        </w:rPr>
        <w:lastRenderedPageBreak/>
        <w:t>текущей рентабельности, стратегические программы и бюджеты закладывают основы будущей рентабельности, что требует создания специальной системы исполнения, построенной на управлении проектами.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Стратегический план выражен стратегией корпорации. В нем содержатся решения относительно сфер деятельности и выбора новых направлений. В нем могут перечисляться основные проекты и задаваться их приоритеты. Разрабатывается он на уровне высшего звена управления. Обычно стратегический план не содержит количественных показателей.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Среднесрочные планы охватывают пятилетний срок, как наиболее удобный для обновления производственного аппарата и ассортимента продукции. В них формируются основные задачи на установленный период, например, производственная стратегия фирмы, стратегия сбыта, финансовая стратегия и т.п. Среднесрочные планы предусматривают разработку в определенной последовательности мероприятий, направленных на достижение целей, намеченных долгосрочной программой развития” /5/.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Среднесрочный план обычно содержит количественные показатели. В нем приводятся детальные сведения о продуктах, капиталовложениях, источниках финансирования. Он разрабатывается в производственных отделениях.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Основным видом среднесрочных планов является бизнес-план, который имеет ряд особенностей, раскрываемых ниже.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Текущее планирование осуществляется путем детальной разработки (обычно на год) оперативных планов для компании в целом и ее отдельных подразделений. Основными звеньями текущего плана являются календарные планы.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Особенно часто в ходе текущего планирования разрабатываются планы маркетинга.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lastRenderedPageBreak/>
        <w:t>1.2 Понятие и назначение бизнес-плана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Бизнес-план описывает цели и задачи, которые необходимо решить предприятию как в ближайшем будущем, так и на перспективу. В нем содержаться оценка текущего момента, сильных и слабых сторон проекта, анализ рынка и информация о потребителях продукции или услуг.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Ценность бизнес-плана определяется тем, что он:</w:t>
      </w:r>
    </w:p>
    <w:p w:rsidR="00AA4F94" w:rsidRDefault="00AA4F94" w:rsidP="00AA4F94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дает возможность определить жизнеспособность проекта в условиях конкуренции;</w:t>
      </w:r>
    </w:p>
    <w:p w:rsidR="00AA4F94" w:rsidRDefault="00AA4F94" w:rsidP="00AA4F94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содержит ориентир, как должен развиваться проект (предприятие);</w:t>
      </w:r>
    </w:p>
    <w:p w:rsidR="00AA4F94" w:rsidRDefault="00AA4F94" w:rsidP="00AA4F94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служит важным инструментом получения финансовой поддержки от внешних инвесторов.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“При составлении бизнес-плана необходимо оценить возможности и проблемы, которые могут возникнуть в будущем. Этот процесс называется определением (или оценкой) общего положения. Имея такую оценку, приступают к постановке целей и задач. Этот процесс, в свою очередь, состоит из двух частей. Во-первых, устанавливается, что будет являться продукцией проекта (каким бизнесом будет заниматься предприятие), во-вторых, определяются главные, количественно обоснованные цели на перспективу” /18/.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Установление таких целей является наиболее легкой задачей. Решив ее, необходимо определить пути достижения этих целей. Для этого необходимо выработать стратегию и составить планы, которые формируют ядро бизнес-плана. Хорошо составленный бизнес-план, как правило, является существенным фактором длительного выживания предприятия и его прибыльности.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Бизнес-план помогает решить вопросы финансирования, то есть он может стать средством привлечения капитала, необходимого для осуществления проекта (развития предприятия). При составлении бизнес-плана необходимо представить, какие препятствия могут возникнуть на пути к успеху. </w:t>
      </w:r>
      <w:r>
        <w:rPr>
          <w:rFonts w:ascii="Times New Roman CYR" w:hAnsi="Times New Roman CYR" w:cs="Times New Roman CYR"/>
        </w:rPr>
        <w:lastRenderedPageBreak/>
        <w:t>Может случиться так, что эти препятствия слишком серьезны, и на предлагаемой идее нужно ставить крест. Разумеется, это не самый приятный вывод, но лучше его сделать, пока проект на бумаге, а не тогда, когда на его создание уже потрачены деньги и время.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Таким образом, бизнес-план дает возможность понять общее состояние дел на данный момент; ясно представить тот уровень, которого может достичь проект (предприятие), планировать процесс перехода от одного состояния в другое.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наше время бизнес-план становиться для предпринимателя все более важным документом. Ни одна компания не сможет выразить цели своего существования или получить финансирование без грамотно разработанного бизнес-плана. Если компания не представит грамотный бизнес-план, никто не будет серьезно рассматривать её идею.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Инвесторы хотят увидеть бизнес-план доказывающий, что над идеей хорошо поработали, и предприниматель тщательно продумал все действия, которые необходимо предпринять для осуществления идеи и превращения ее в успешно функционирующую программу.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“Бизнес-план представляет из себя документ, который убедительно демонстрирует способность вашей компании произвести и (что самое главное) продать достаточно товаров и услуг, чтобы при этом размеры прибыли и возврат вложений удовлетворяли потенциальных инвесторов (кредиторов)” /8/.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Таким образом, бизнес-план является не просто набором управленческих решений в области маркетинга, стратегии производства и продаж, организации и финансов - он позволяет "удачно" продать бизнес тому, для кого этот план предназначен, будь то банк, инвестиционная компания, потенциальный партнер (заказчик).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Бизнес-план предназначен для инвестора или банкира, а также огромную пользу он приносит и предприятию. Подробный и продуманный бизнес-план, </w:t>
      </w:r>
      <w:r>
        <w:rPr>
          <w:rFonts w:ascii="Times New Roman CYR" w:hAnsi="Times New Roman CYR" w:cs="Times New Roman CYR"/>
        </w:rPr>
        <w:lastRenderedPageBreak/>
        <w:t>возможно, является наилучшим инструментом, который поможет достичь долгосрочных целей.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“Бизнес-план помогает:</w:t>
      </w:r>
    </w:p>
    <w:p w:rsidR="00AA4F94" w:rsidRDefault="00AA4F94" w:rsidP="00AA4F94">
      <w:pPr>
        <w:widowControl w:val="0"/>
        <w:numPr>
          <w:ilvl w:val="0"/>
          <w:numId w:val="11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принимать важные деловые решения;</w:t>
      </w:r>
    </w:p>
    <w:p w:rsidR="00AA4F94" w:rsidRDefault="00AA4F94" w:rsidP="00AA4F94">
      <w:pPr>
        <w:widowControl w:val="0"/>
        <w:numPr>
          <w:ilvl w:val="0"/>
          <w:numId w:val="12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подробно ознакомиться с финансовой стороной вашего дела;</w:t>
      </w:r>
    </w:p>
    <w:p w:rsidR="00AA4F94" w:rsidRDefault="00AA4F94" w:rsidP="00AA4F94">
      <w:pPr>
        <w:widowControl w:val="0"/>
        <w:numPr>
          <w:ilvl w:val="0"/>
          <w:numId w:val="13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получать важную информацию по вашей индустрии и маркетингу;</w:t>
      </w:r>
    </w:p>
    <w:p w:rsidR="00AA4F94" w:rsidRDefault="00AA4F94" w:rsidP="00AA4F94">
      <w:pPr>
        <w:widowControl w:val="0"/>
        <w:numPr>
          <w:ilvl w:val="0"/>
          <w:numId w:val="14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предвидеть и избегать препятствий, которые часто встречаются в схожем бизнесе;</w:t>
      </w:r>
    </w:p>
    <w:p w:rsidR="00AA4F94" w:rsidRDefault="00AA4F94" w:rsidP="00AA4F94">
      <w:pPr>
        <w:widowControl w:val="0"/>
        <w:numPr>
          <w:ilvl w:val="0"/>
          <w:numId w:val="15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поставить конкретные задачи, осуществление которых будет свидетельствовать о сделанном прогрессе;</w:t>
      </w:r>
    </w:p>
    <w:p w:rsidR="00AA4F94" w:rsidRDefault="00AA4F94" w:rsidP="00AA4F94">
      <w:pPr>
        <w:widowControl w:val="0"/>
        <w:numPr>
          <w:ilvl w:val="0"/>
          <w:numId w:val="16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расширяться в новых и перспективных отраслях;</w:t>
      </w:r>
    </w:p>
    <w:p w:rsidR="00AA4F94" w:rsidRDefault="00AA4F94" w:rsidP="00AA4F94">
      <w:pPr>
        <w:widowControl w:val="0"/>
        <w:numPr>
          <w:ilvl w:val="0"/>
          <w:numId w:val="17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быть более убедительным при поиске финансирования” /11/.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Создавая бизнес-план предприятие получает возможность: узнать много нового о своей индустрии и секторе рынка, лучше контролировать свою фирму и увеличить свою конкурентоспособность.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“Любой бизнес-план должен иметь читателей, заинтересованных в успехе дела. Существует восемь различных причин, которые определяют характер бизнес-плана в зависимости от того, для кого он предназначен:</w:t>
      </w:r>
    </w:p>
    <w:p w:rsidR="00AA4F94" w:rsidRDefault="00AA4F94" w:rsidP="00AA4F94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1.  Бизнес-план для себя. Это своего рода самоконтроль: что необходимо для открытия дела? Достаточно ли реалистична идея?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2. Бизнес-план для получения кредита. До недавнего времени российский предприниматель для получения кредита в банке мог представить лишь двухстраничное ТЭО (технико-экономическое обоснование), которое, впрочем, не являлось решающим для принятия банком или другой финансовой организацией решения о предоставлении кредита. Решающими же были личные связи, рекомендации, а также осведомленность банкиров о состоянии дел кредитополучателя (как правило, предприниматели брали кредиты в банках, клиентами которых они были). В последнее время все больше и больше </w:t>
      </w:r>
      <w:r>
        <w:rPr>
          <w:rFonts w:ascii="Times New Roman CYR" w:hAnsi="Times New Roman CYR" w:cs="Times New Roman CYR"/>
        </w:rPr>
        <w:lastRenderedPageBreak/>
        <w:t>российских банков требуют от предпринимателей бизнес-план для предприятия окончательного решения о выдаче (или не выдаче) кредита.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3. Бизнес-план для привлечения средств сторонних инвесторов. Инвесторами выступают: венчурные инвестиционные фонды, частные инвесторы или публичная эмиссия акций. Если компания привлекает средства за счет публичной эмиссии акций, бизнес-план содержащий сведения о фирме, о стратегии маркетинга, продаж, производства и о финансовых перспективах, поможет  успешнее продать компанию инвесторам. По мере того, как российский фондовый рынок развивается и стабилизируется, бизнес-планы будут приобретать все большее значение для осуществления публичной эмиссии ценных бумаг (и во всей видимости, станут основой проспекта эмиссии).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4. Бизнес-план для совместного предприятия или стратегического альянса с иностранным партнером. Иностранные компании пережив эйфорию первых лет перестройки, теперь с большей осторожностью подходят к оценке потенциального партнера по совместному предприятию. И грамотный бизнес-план дает уверенность иностранному партнеру в серьезности вашего дела.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5. Бизнес-план для заключения крупного контракта.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6. Бизнес-план для привлечения новых сотрудников. В наши годы трудно переманить профессионалов из других фирм, даже пообещав им более высокие заработки. Описание будущей деятельности фирмы дает потенциальному сотруднику информацию о перспективности и стабильности предлагаемой работы.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7. Бизнес-план для объединения с другой компанией. Он поможет увидеть выгодность сделки: положительные и отрицательные стороны совместной деятельности.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8. Бизнес-план для реорганизации дела и оптимизирования операций. По мере того, как небольшие компании растут, появляется необходимость создания </w:t>
      </w:r>
      <w:r>
        <w:rPr>
          <w:rFonts w:ascii="Times New Roman CYR" w:hAnsi="Times New Roman CYR" w:cs="Times New Roman CYR"/>
        </w:rPr>
        <w:lastRenderedPageBreak/>
        <w:t>стратегической (или тактической - в зависимости от ситуации) концепции развития. Бизнес-план, в разработке которого принимают участие партнеры по бизнесу и ключевые сотрудники, поможет выработать эту концепцию и, что важнее, позволит партнерам компании более четко осознать цели и конкретные задачи, стоящие на пути реализации этой концепции” /18/.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1.3 Оценка существующих методик разработки бизнес-плана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4"/>
          <w:szCs w:val="24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Переходя к данной теме, и, учитывая неоднозначность толкования понятия “методика разработки бизнес-плана” в экономической литературе, необходимо определиться с самим термином “метод” и “методика”.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Так, в подавляющем большинстве случаев, авторы изданий и статей, посвященных именно методике бизнес-планирования, сводят данную категорию до уровня количества разделов в бизнес-плане и их примерного содержания.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настоящее время на рынке России из западных методик наибо</w:t>
      </w:r>
      <w:r>
        <w:rPr>
          <w:rFonts w:ascii="Times New Roman CYR" w:hAnsi="Times New Roman CYR" w:cs="Times New Roman CYR"/>
        </w:rPr>
        <w:softHyphen/>
        <w:t>лее известна разработка UNIDO (Организация объединенных наций по промышленному развитию) для развивающих</w:t>
      </w:r>
      <w:r>
        <w:rPr>
          <w:rFonts w:ascii="Times New Roman CYR" w:hAnsi="Times New Roman CYR" w:cs="Times New Roman CYR"/>
        </w:rPr>
        <w:softHyphen/>
        <w:t>ся стран по подготовке промышленных технико-экономических обоснований и её электрон</w:t>
      </w:r>
      <w:r>
        <w:rPr>
          <w:rFonts w:ascii="Times New Roman CYR" w:hAnsi="Times New Roman CYR" w:cs="Times New Roman CYR"/>
        </w:rPr>
        <w:softHyphen/>
        <w:t>ная версия СОМFАR.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Кроме того, популярностью пользуются разработки Tacis – программы Европейского Союза, разработанной для стран СНГ (плюс Монголия) по субсидированию приобретений современных технологий; а также некоторые другие.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Определенную лепту внесло и Правительство Российской Федерации, утвердив своим постановлением Положение об оценке эффективности инвестиционных проектов при размещении на конкурсной основе централизованных инвестиционных ресурсов Бюджета развития Российской Федерации. В качестве приложения к данному положению Правительство </w:t>
      </w:r>
      <w:r>
        <w:rPr>
          <w:rFonts w:ascii="Times New Roman CYR" w:hAnsi="Times New Roman CYR" w:cs="Times New Roman CYR"/>
        </w:rPr>
        <w:lastRenderedPageBreak/>
        <w:t>предлагает макет бизнес-плана, представляемого претендентом в составе заявки.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Можно выделить основу (ядро) всех вышеперечислен</w:t>
      </w:r>
      <w:r>
        <w:rPr>
          <w:rFonts w:ascii="Times New Roman CYR" w:hAnsi="Times New Roman CYR" w:cs="Times New Roman CYR"/>
        </w:rPr>
        <w:softHyphen/>
        <w:t>ных методик составления бизнес-планов и провести детальный анализ, какие из предложенных методов уже актуальны, а какие еще не работают в условиях становления рынка России. Именно таким ядром (основой) всех вышеперечисленных методик состав</w:t>
      </w:r>
      <w:r>
        <w:rPr>
          <w:rFonts w:ascii="Times New Roman CYR" w:hAnsi="Times New Roman CYR" w:cs="Times New Roman CYR"/>
        </w:rPr>
        <w:softHyphen/>
        <w:t>ления бизнес-планов являются следующие разделы:</w:t>
      </w:r>
    </w:p>
    <w:p w:rsidR="00AA4F94" w:rsidRDefault="00AA4F94" w:rsidP="00AA4F9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финансовый план;</w:t>
      </w:r>
    </w:p>
    <w:p w:rsidR="00AA4F94" w:rsidRDefault="00AA4F94" w:rsidP="00AA4F94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маркетинг-план;</w:t>
      </w:r>
    </w:p>
    <w:p w:rsidR="00AA4F94" w:rsidRDefault="00AA4F94" w:rsidP="00AA4F94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система производства;</w:t>
      </w:r>
    </w:p>
    <w:p w:rsidR="00AA4F94" w:rsidRDefault="00AA4F94" w:rsidP="00AA4F94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органично связанные организационным пла</w:t>
      </w:r>
      <w:r>
        <w:rPr>
          <w:rFonts w:ascii="Times New Roman CYR" w:hAnsi="Times New Roman CYR" w:cs="Times New Roman CYR"/>
        </w:rPr>
        <w:softHyphen/>
        <w:t>ном (конкретной схемой реализации проекта), с со</w:t>
      </w:r>
      <w:r>
        <w:rPr>
          <w:rFonts w:ascii="Times New Roman CYR" w:hAnsi="Times New Roman CYR" w:cs="Times New Roman CYR"/>
        </w:rPr>
        <w:softHyphen/>
        <w:t xml:space="preserve">ответствующим просчетом рисков и выделением компенсационных мероприятий.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Именно эти осново</w:t>
      </w:r>
      <w:r>
        <w:rPr>
          <w:rFonts w:ascii="Times New Roman CYR" w:hAnsi="Times New Roman CYR" w:cs="Times New Roman CYR"/>
        </w:rPr>
        <w:softHyphen/>
        <w:t>полагающие ключевые разделы и заложили фунда</w:t>
      </w:r>
      <w:r>
        <w:rPr>
          <w:rFonts w:ascii="Times New Roman CYR" w:hAnsi="Times New Roman CYR" w:cs="Times New Roman CYR"/>
        </w:rPr>
        <w:softHyphen/>
        <w:t>мент российских стандартов формирования бизнес-планов. В настоящее время в России разработано множество методик и практических руководств по разработке бизнес-планов в соответствии с методи</w:t>
      </w:r>
      <w:r>
        <w:rPr>
          <w:rFonts w:ascii="Times New Roman CYR" w:hAnsi="Times New Roman CYR" w:cs="Times New Roman CYR"/>
        </w:rPr>
        <w:softHyphen/>
        <w:t>ческими рекомендациями UNIDO. Тем не менее го</w:t>
      </w:r>
      <w:r>
        <w:rPr>
          <w:rFonts w:ascii="Times New Roman CYR" w:hAnsi="Times New Roman CYR" w:cs="Times New Roman CYR"/>
        </w:rPr>
        <w:softHyphen/>
        <w:t>лод на подобную литературу не удовлетворен. Это связано с тем, что разработка бизнес-планов являет</w:t>
      </w:r>
      <w:r>
        <w:rPr>
          <w:rFonts w:ascii="Times New Roman CYR" w:hAnsi="Times New Roman CYR" w:cs="Times New Roman CYR"/>
        </w:rPr>
        <w:softHyphen/>
        <w:t xml:space="preserve">ся для российских предпринимателей занятием новым.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Эта литература является, в основном, нужной и полезной, хотя и встречаются методики явно сы</w:t>
      </w:r>
      <w:r>
        <w:rPr>
          <w:rFonts w:ascii="Times New Roman CYR" w:hAnsi="Times New Roman CYR" w:cs="Times New Roman CYR"/>
        </w:rPr>
        <w:softHyphen/>
        <w:t>рые, а некоторые с ошибками. Многие из них объе</w:t>
      </w:r>
      <w:r>
        <w:rPr>
          <w:rFonts w:ascii="Times New Roman CYR" w:hAnsi="Times New Roman CYR" w:cs="Times New Roman CYR"/>
        </w:rPr>
        <w:softHyphen/>
        <w:t>диняет следующее:</w:t>
      </w:r>
    </w:p>
    <w:p w:rsidR="00AA4F94" w:rsidRDefault="00AA4F94" w:rsidP="00AA4F9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основе методики лежит описание структуры бизнес-плана (последовательность разделов);</w:t>
      </w:r>
    </w:p>
    <w:p w:rsidR="00AA4F94" w:rsidRDefault="00AA4F94" w:rsidP="00AA4F94">
      <w:pPr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общих чертах говорится о том , как и что нужно написать в каждом разделе;</w:t>
      </w:r>
    </w:p>
    <w:p w:rsidR="00AA4F94" w:rsidRDefault="00AA4F94" w:rsidP="00AA4F94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приводятся примеры написания бизнес-плана;</w:t>
      </w:r>
    </w:p>
    <w:p w:rsidR="00AA4F94" w:rsidRDefault="00AA4F94" w:rsidP="00AA4F94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приложении указывается структура затрат и приводятся нормативные акты;</w:t>
      </w:r>
    </w:p>
    <w:p w:rsidR="00AA4F94" w:rsidRDefault="00AA4F94" w:rsidP="00AA4F94">
      <w:pPr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рассчитаны на руководителей, которые должны изучить методики и целый ряд со</w:t>
      </w:r>
      <w:r>
        <w:rPr>
          <w:rFonts w:ascii="Times New Roman CYR" w:hAnsi="Times New Roman CYR" w:cs="Times New Roman CYR"/>
        </w:rPr>
        <w:softHyphen/>
        <w:t>путствующей литературы, собрать информацию по общей схеме и исходя из общих рекомендаций, а затем разработать бизнес-план.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настоящее время руководителей, имеющих современные экономические знания, владеющих методикой разработки бизнес-планов, имеющих время и желание этим заниматься, явно не хватает. Работа над бизнес-планом требует от руководителя определенных усилий и времени. К тому же требова</w:t>
      </w:r>
      <w:r>
        <w:rPr>
          <w:rFonts w:ascii="Times New Roman CYR" w:hAnsi="Times New Roman CYR" w:cs="Times New Roman CYR"/>
        </w:rPr>
        <w:softHyphen/>
        <w:t>ния со стороны инвесторов различны. Российские коммер</w:t>
      </w:r>
      <w:r>
        <w:rPr>
          <w:rFonts w:ascii="Times New Roman CYR" w:hAnsi="Times New Roman CYR" w:cs="Times New Roman CYR"/>
        </w:rPr>
        <w:softHyphen/>
        <w:t>ческие банки не имеют единого подхода к разработке бизнес-планов и, почти каждый крупный банк старается разработать собственную методику, в ко</w:t>
      </w:r>
      <w:r>
        <w:rPr>
          <w:rFonts w:ascii="Times New Roman CYR" w:hAnsi="Times New Roman CYR" w:cs="Times New Roman CYR"/>
        </w:rPr>
        <w:softHyphen/>
        <w:t>торую закладывает свои требования. Некоторые бан</w:t>
      </w:r>
      <w:r>
        <w:rPr>
          <w:rFonts w:ascii="Times New Roman CYR" w:hAnsi="Times New Roman CYR" w:cs="Times New Roman CYR"/>
        </w:rPr>
        <w:softHyphen/>
        <w:t>ки считают необходимым вести расчеты финансового плана в двух денежных единицах: российской и ино</w:t>
      </w:r>
      <w:r>
        <w:rPr>
          <w:rFonts w:ascii="Times New Roman CYR" w:hAnsi="Times New Roman CYR" w:cs="Times New Roman CYR"/>
        </w:rPr>
        <w:softHyphen/>
        <w:t>странной, другие в одной (большее предпочтение иностранной), нет единого подхода к расчетам рис</w:t>
      </w:r>
      <w:r>
        <w:rPr>
          <w:rFonts w:ascii="Times New Roman CYR" w:hAnsi="Times New Roman CYR" w:cs="Times New Roman CYR"/>
        </w:rPr>
        <w:softHyphen/>
        <w:t>ков и т.д. И если учесть, что эти методики, в основ</w:t>
      </w:r>
      <w:r>
        <w:rPr>
          <w:rFonts w:ascii="Times New Roman CYR" w:hAnsi="Times New Roman CYR" w:cs="Times New Roman CYR"/>
        </w:rPr>
        <w:softHyphen/>
        <w:t>ном, разработаны для служебного пользования, то можно представить сложности, с которыми сталки</w:t>
      </w:r>
      <w:r>
        <w:rPr>
          <w:rFonts w:ascii="Times New Roman CYR" w:hAnsi="Times New Roman CYR" w:cs="Times New Roman CYR"/>
        </w:rPr>
        <w:softHyphen/>
        <w:t>вается руководитель сам разработавший бизнес-план. Так как банки не говорят об условиях кредитова</w:t>
      </w:r>
      <w:r>
        <w:rPr>
          <w:rFonts w:ascii="Times New Roman CYR" w:hAnsi="Times New Roman CYR" w:cs="Times New Roman CYR"/>
        </w:rPr>
        <w:softHyphen/>
        <w:t>ния без наличия бизнес-плана, то руководители вы</w:t>
      </w:r>
      <w:r>
        <w:rPr>
          <w:rFonts w:ascii="Times New Roman CYR" w:hAnsi="Times New Roman CYR" w:cs="Times New Roman CYR"/>
        </w:rPr>
        <w:softHyphen/>
        <w:t>нуждены заказывать бизнес-планы у банков или у консультационных фирм, связанных с конкретными банками. Этому же способствует требование ино</w:t>
      </w:r>
      <w:r>
        <w:rPr>
          <w:rFonts w:ascii="Times New Roman CYR" w:hAnsi="Times New Roman CYR" w:cs="Times New Roman CYR"/>
        </w:rPr>
        <w:softHyphen/>
        <w:t>странных инвесторов представлять расчеты финан</w:t>
      </w:r>
      <w:r>
        <w:rPr>
          <w:rFonts w:ascii="Times New Roman CYR" w:hAnsi="Times New Roman CYR" w:cs="Times New Roman CYR"/>
        </w:rPr>
        <w:softHyphen/>
        <w:t>сового плана с помощью лицензированных UNIDO пакетов - COMFAR и PROPSPIN.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большинстве случаев самостоятельное использование предпринимателем указанных методик недостаточно для разработки бизнес-планов, удов</w:t>
      </w:r>
      <w:r>
        <w:rPr>
          <w:rFonts w:ascii="Times New Roman CYR" w:hAnsi="Times New Roman CYR" w:cs="Times New Roman CYR"/>
        </w:rPr>
        <w:softHyphen/>
        <w:t xml:space="preserve">летворяющего требованиям инвесторов, и их можно рассматривать </w:t>
      </w:r>
      <w:r>
        <w:rPr>
          <w:rFonts w:ascii="Times New Roman CYR" w:hAnsi="Times New Roman CYR" w:cs="Times New Roman CYR"/>
        </w:rPr>
        <w:lastRenderedPageBreak/>
        <w:t>как предварительную проработку на</w:t>
      </w:r>
      <w:r>
        <w:rPr>
          <w:rFonts w:ascii="Times New Roman CYR" w:hAnsi="Times New Roman CYR" w:cs="Times New Roman CYR"/>
        </w:rPr>
        <w:softHyphen/>
        <w:t>мерений и планов заемщика.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1.4 Общая характеристика содержания бизнес-плана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4"/>
          <w:szCs w:val="24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было уже отмечено, наибольшую популярность в России приобрела методика, которая была разработана под эгидой UNIDO, а также Tacis. Требованиям этих организаций были также подчинены популярные в России пакеты разработки бизнес-планов COMFAR (UNIDO) и Project Expert (UNIDO, Tacis). В связи с этим обстоятельством, давая характеристику содержания бизнес-плана, было бы разумным  также придерживаться рекомендаций указанных организаций.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этих позиций основными разделами бизнес-плана являются следующие:</w:t>
      </w:r>
    </w:p>
    <w:p w:rsidR="00AA4F94" w:rsidRDefault="00AA4F94" w:rsidP="00AA4F94">
      <w:pPr>
        <w:widowControl w:val="0"/>
        <w:numPr>
          <w:ilvl w:val="0"/>
          <w:numId w:val="27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Краткое описание;</w:t>
      </w:r>
    </w:p>
    <w:p w:rsidR="00AA4F94" w:rsidRDefault="00AA4F94" w:rsidP="00AA4F94">
      <w:pPr>
        <w:widowControl w:val="0"/>
        <w:numPr>
          <w:ilvl w:val="0"/>
          <w:numId w:val="28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Бизнес и его стратегия;</w:t>
      </w:r>
    </w:p>
    <w:p w:rsidR="00AA4F94" w:rsidRDefault="00AA4F94" w:rsidP="00AA4F94">
      <w:pPr>
        <w:widowControl w:val="0"/>
        <w:numPr>
          <w:ilvl w:val="0"/>
          <w:numId w:val="29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Рынок и маркетинговая стратегия (план-маркетинг);</w:t>
      </w:r>
    </w:p>
    <w:p w:rsidR="00AA4F94" w:rsidRDefault="00AA4F94" w:rsidP="00AA4F94">
      <w:pPr>
        <w:widowControl w:val="0"/>
        <w:numPr>
          <w:ilvl w:val="0"/>
          <w:numId w:val="30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Производство и эксплуатация;</w:t>
      </w:r>
    </w:p>
    <w:p w:rsidR="00AA4F94" w:rsidRDefault="00AA4F94" w:rsidP="00AA4F94">
      <w:pPr>
        <w:widowControl w:val="0"/>
        <w:numPr>
          <w:ilvl w:val="0"/>
          <w:numId w:val="31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Управление и процесс принятия решений;</w:t>
      </w:r>
    </w:p>
    <w:p w:rsidR="00AA4F94" w:rsidRDefault="00AA4F94" w:rsidP="00AA4F94">
      <w:pPr>
        <w:widowControl w:val="0"/>
        <w:numPr>
          <w:ilvl w:val="0"/>
          <w:numId w:val="32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Финансы (финансовый план);</w:t>
      </w:r>
    </w:p>
    <w:p w:rsidR="00AA4F94" w:rsidRDefault="00AA4F94" w:rsidP="00AA4F94">
      <w:pPr>
        <w:widowControl w:val="0"/>
        <w:numPr>
          <w:ilvl w:val="0"/>
          <w:numId w:val="33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Факторы риска.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Раздел "</w:t>
      </w:r>
      <w:r>
        <w:rPr>
          <w:rFonts w:ascii="Times New Roman CYR" w:hAnsi="Times New Roman CYR" w:cs="Times New Roman CYR"/>
          <w:b/>
          <w:bCs/>
          <w:i/>
          <w:iCs/>
        </w:rPr>
        <w:t>Краткое описание</w:t>
      </w:r>
      <w:r>
        <w:rPr>
          <w:rFonts w:ascii="Times New Roman CYR" w:hAnsi="Times New Roman CYR" w:cs="Times New Roman CYR"/>
        </w:rPr>
        <w:t>", к сожалению, часто недооценивается разработчиками. Хотя он является одним из самых важных разделов плана, так как может вызвать (или нет) интерес читателя - потенциального инвестора.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Контрольный список вопросов для составления краткого описания: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1) Бизнес:</w:t>
      </w:r>
    </w:p>
    <w:p w:rsidR="00AA4F94" w:rsidRDefault="00AA4F94" w:rsidP="00AA4F94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краткая история бизнеса, описывающая период его создания и роста;</w:t>
      </w:r>
    </w:p>
    <w:p w:rsidR="00AA4F94" w:rsidRDefault="00AA4F94" w:rsidP="00AA4F94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 xml:space="preserve">краткое описание существующей стадии развития бизнеса и среды, в которой он ведется; </w:t>
      </w:r>
    </w:p>
    <w:p w:rsidR="00AA4F94" w:rsidRDefault="00AA4F94" w:rsidP="00AA4F94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краткое описание распределения акций, ответственности и т.д., и участия руководства в принятии стратегических решений;</w:t>
      </w:r>
    </w:p>
    <w:p w:rsidR="00AA4F94" w:rsidRDefault="00AA4F94" w:rsidP="00AA4F94">
      <w:pPr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краткое описание целей бизнеса (например, указания о добавленной  стоимости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продукции при переработке и маркетинге);</w:t>
      </w:r>
    </w:p>
    <w:p w:rsidR="00AA4F94" w:rsidRDefault="00AA4F94" w:rsidP="00AA4F94">
      <w:pPr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описание того, как было решено осуществлять предлагаемый бизнес-план и куда это может привести компанию.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2) Продукция:</w:t>
      </w:r>
    </w:p>
    <w:p w:rsidR="00AA4F94" w:rsidRDefault="00AA4F94" w:rsidP="00AA4F94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краткое описание того, что делает продукцию уникальной и тех отличительных особенностей, которые ставят ее вне конкуренции в отношении ценообразования и/или качества и/или продолжительности поставок сырья.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3)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Рынок:</w:t>
      </w:r>
    </w:p>
    <w:p w:rsidR="00AA4F94" w:rsidRDefault="00AA4F94" w:rsidP="00AA4F94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существующая емкость рынка, рост;</w:t>
      </w:r>
    </w:p>
    <w:p w:rsidR="00AA4F94" w:rsidRDefault="00AA4F94" w:rsidP="00AA4F94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внутренний и/или международный;</w:t>
      </w:r>
    </w:p>
    <w:p w:rsidR="00AA4F94" w:rsidRDefault="00AA4F94" w:rsidP="00AA4F94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каналы распределения;</w:t>
      </w:r>
    </w:p>
    <w:p w:rsidR="00AA4F94" w:rsidRDefault="00AA4F94" w:rsidP="00AA4F94">
      <w:pPr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прогнозируемый рост;</w:t>
      </w:r>
    </w:p>
    <w:p w:rsidR="00AA4F94" w:rsidRDefault="00AA4F94" w:rsidP="00AA4F94">
      <w:pPr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предполагаемая доля рынка (по подтвержденным оценкам).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4) Руководство и персонал:</w:t>
      </w:r>
    </w:p>
    <w:p w:rsidR="00AA4F94" w:rsidRDefault="00AA4F94" w:rsidP="00AA4F94">
      <w:pPr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насколько укомплектован штат;</w:t>
      </w:r>
    </w:p>
    <w:p w:rsidR="00AA4F94" w:rsidRDefault="00AA4F94" w:rsidP="00AA4F94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 образовательный уровень;</w:t>
      </w:r>
    </w:p>
    <w:p w:rsidR="00AA4F94" w:rsidRDefault="00AA4F94" w:rsidP="00AA4F94">
      <w:pPr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какой уровень безработицы в данной области бизнеса;</w:t>
      </w:r>
    </w:p>
    <w:p w:rsidR="00AA4F94" w:rsidRDefault="00AA4F94" w:rsidP="00AA4F94">
      <w:pPr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краткое описание имеющегося опыта (подчеркнуть сильные стороны).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5) Финансирование:</w:t>
      </w:r>
    </w:p>
    <w:p w:rsidR="00AA4F94" w:rsidRDefault="00AA4F94" w:rsidP="00AA4F94">
      <w:pPr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описание точных целей требуемого финансирования;</w:t>
      </w:r>
    </w:p>
    <w:p w:rsidR="00AA4F94" w:rsidRDefault="00AA4F94" w:rsidP="00AA4F94">
      <w:pPr>
        <w:numPr>
          <w:ilvl w:val="0"/>
          <w:numId w:val="5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прогнозирование доходов и чистого дохода после уплаты налогов на три последующие года;</w:t>
      </w:r>
    </w:p>
    <w:p w:rsidR="00AA4F94" w:rsidRDefault="00AA4F94" w:rsidP="00AA4F94">
      <w:pPr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проектирование начала поступления прибыли.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Раздел  </w:t>
      </w:r>
      <w:r>
        <w:rPr>
          <w:rFonts w:ascii="Times New Roman CYR" w:hAnsi="Times New Roman CYR" w:cs="Times New Roman CYR"/>
          <w:b/>
          <w:bCs/>
          <w:i/>
          <w:iCs/>
        </w:rPr>
        <w:t>"Бизнес и его общая стратегия"</w:t>
      </w:r>
      <w:r>
        <w:rPr>
          <w:rFonts w:ascii="Times New Roman CYR" w:hAnsi="Times New Roman CYR" w:cs="Times New Roman CYR"/>
        </w:rPr>
        <w:t xml:space="preserve"> раздел представляет собой тщательное описание компании. Обычно он не превышает 5-ти страниц. Контрольный список вопросов для описания бизнеса и его общей стратегии: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1)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Описание организации бизнеса</w:t>
      </w:r>
      <w:r>
        <w:rPr>
          <w:rFonts w:ascii="Times New Roman CYR" w:hAnsi="Times New Roman CYR" w:cs="Times New Roman CYR"/>
        </w:rPr>
        <w:t>, форм участия в нем, совета директоров, схемы управления и высокопрофессионального персонала;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2)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Описание целей бизнеса</w:t>
      </w:r>
      <w:r>
        <w:rPr>
          <w:rFonts w:ascii="Times New Roman CYR" w:hAnsi="Times New Roman CYR" w:cs="Times New Roman CYR"/>
        </w:rPr>
        <w:t>:</w:t>
      </w:r>
    </w:p>
    <w:p w:rsidR="00AA4F94" w:rsidRDefault="00AA4F94" w:rsidP="00AA4F94">
      <w:pPr>
        <w:numPr>
          <w:ilvl w:val="0"/>
          <w:numId w:val="5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какими  представляются экономические преимущества;</w:t>
      </w:r>
    </w:p>
    <w:p w:rsidR="00AA4F94" w:rsidRDefault="00AA4F94" w:rsidP="00AA4F94">
      <w:pPr>
        <w:numPr>
          <w:ilvl w:val="0"/>
          <w:numId w:val="5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будет ли являться добавленная стоимость производства продукции или услуг, характеристикой процесса переработки и маркетинга;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3) Описание стратегии бизнеса</w:t>
      </w:r>
      <w:r>
        <w:rPr>
          <w:rFonts w:ascii="Times New Roman CYR" w:hAnsi="Times New Roman CYR" w:cs="Times New Roman CYR"/>
        </w:rPr>
        <w:t>:</w:t>
      </w:r>
    </w:p>
    <w:p w:rsidR="00AA4F94" w:rsidRDefault="00AA4F94" w:rsidP="00AA4F94">
      <w:pPr>
        <w:numPr>
          <w:ilvl w:val="0"/>
          <w:numId w:val="5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какой стадии находится бизнес в настоящее время;</w:t>
      </w:r>
    </w:p>
    <w:p w:rsidR="00AA4F94" w:rsidRDefault="00AA4F94" w:rsidP="00AA4F94">
      <w:pPr>
        <w:numPr>
          <w:ilvl w:val="0"/>
          <w:numId w:val="5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какие стадии роста могут быть предсказаны на следующие 3-5 лет;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4) Описание основных характеристик продукции и услуг</w:t>
      </w:r>
      <w:r>
        <w:rPr>
          <w:rFonts w:ascii="Times New Roman CYR" w:hAnsi="Times New Roman CYR" w:cs="Times New Roman CYR"/>
        </w:rPr>
        <w:t>:</w:t>
      </w:r>
    </w:p>
    <w:p w:rsidR="00AA4F94" w:rsidRDefault="00AA4F94" w:rsidP="00AA4F94">
      <w:pPr>
        <w:numPr>
          <w:ilvl w:val="0"/>
          <w:numId w:val="5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цены и качества;</w:t>
      </w:r>
    </w:p>
    <w:p w:rsidR="00AA4F94" w:rsidRDefault="00AA4F94" w:rsidP="00AA4F94">
      <w:pPr>
        <w:numPr>
          <w:ilvl w:val="0"/>
          <w:numId w:val="5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стоимости в сравнении с конкурентами;</w:t>
      </w:r>
    </w:p>
    <w:p w:rsidR="00AA4F94" w:rsidRDefault="00AA4F94" w:rsidP="00AA4F94">
      <w:pPr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любых негативных характеристик бизнеса, и как они могут быть скорректированы или устранены;</w:t>
      </w:r>
    </w:p>
    <w:p w:rsidR="00AA4F94" w:rsidRDefault="00AA4F94" w:rsidP="00AA4F94">
      <w:pPr>
        <w:numPr>
          <w:ilvl w:val="0"/>
          <w:numId w:val="5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правил и положений, и как их следует соблюдать;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5) Описание стратегии управления и стратегии маркетинга</w:t>
      </w:r>
      <w:r>
        <w:rPr>
          <w:rFonts w:ascii="Times New Roman CYR" w:hAnsi="Times New Roman CYR" w:cs="Times New Roman CYR"/>
        </w:rPr>
        <w:t>, которым необходимо следовать, например, для сокращения расходов, получения более высокой добавленной стоимости, приобретения лидерской позиции по качеству продукции;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6) Общее описание рынка</w:t>
      </w:r>
      <w:r>
        <w:rPr>
          <w:rFonts w:ascii="Times New Roman CYR" w:hAnsi="Times New Roman CYR" w:cs="Times New Roman CYR"/>
        </w:rPr>
        <w:t>:</w:t>
      </w:r>
    </w:p>
    <w:p w:rsidR="00AA4F94" w:rsidRDefault="00AA4F94" w:rsidP="00AA4F94">
      <w:pPr>
        <w:numPr>
          <w:ilvl w:val="0"/>
          <w:numId w:val="6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 какому рынку необходимо стремиться;</w:t>
      </w:r>
    </w:p>
    <w:p w:rsidR="00AA4F94" w:rsidRDefault="00AA4F94" w:rsidP="00AA4F94">
      <w:pPr>
        <w:numPr>
          <w:ilvl w:val="0"/>
          <w:numId w:val="6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создает ли данный бизнес новый спрос или удовлетворяет уже существующий спрос;</w:t>
      </w:r>
    </w:p>
    <w:p w:rsidR="00AA4F94" w:rsidRDefault="00AA4F94" w:rsidP="00AA4F94">
      <w:pPr>
        <w:numPr>
          <w:ilvl w:val="0"/>
          <w:numId w:val="6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 потенциальный рост рынка;</w:t>
      </w:r>
    </w:p>
    <w:p w:rsidR="00AA4F94" w:rsidRDefault="00AA4F94" w:rsidP="00AA4F94">
      <w:pPr>
        <w:numPr>
          <w:ilvl w:val="0"/>
          <w:numId w:val="6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чем является продукция для покупателя;</w:t>
      </w:r>
    </w:p>
    <w:p w:rsidR="00AA4F94" w:rsidRDefault="00AA4F94" w:rsidP="00AA4F94">
      <w:pPr>
        <w:numPr>
          <w:ilvl w:val="0"/>
          <w:numId w:val="6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кто является покупателями (например, оптовые закупщики, экспортеры);</w:t>
      </w:r>
    </w:p>
    <w:p w:rsidR="00AA4F94" w:rsidRDefault="00AA4F94" w:rsidP="00AA4F94">
      <w:pPr>
        <w:numPr>
          <w:ilvl w:val="0"/>
          <w:numId w:val="6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кто является конкурентами и какова их доля на рынке, их сильные и слабые  стороны.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разделе "</w:t>
      </w:r>
      <w:r>
        <w:rPr>
          <w:rFonts w:ascii="Times New Roman CYR" w:hAnsi="Times New Roman CYR" w:cs="Times New Roman CYR"/>
          <w:b/>
          <w:bCs/>
          <w:i/>
          <w:iCs/>
        </w:rPr>
        <w:t>Рынок и маркетинговая стратегия</w:t>
      </w:r>
      <w:r>
        <w:rPr>
          <w:rFonts w:ascii="Times New Roman CYR" w:hAnsi="Times New Roman CYR" w:cs="Times New Roman CYR"/>
        </w:rPr>
        <w:t>" будет оцениваться предполагаемый доход бизнеса. Предприниматель должен показать, что он хорошо понимает рынок и требования рынка к своей продукции. Этот раздел должен состоять из следующих частей:</w:t>
      </w:r>
    </w:p>
    <w:p w:rsidR="00AA4F94" w:rsidRDefault="00AA4F94" w:rsidP="00AA4F94">
      <w:pPr>
        <w:numPr>
          <w:ilvl w:val="0"/>
          <w:numId w:val="66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сектора промышленности;</w:t>
      </w:r>
    </w:p>
    <w:p w:rsidR="00AA4F94" w:rsidRDefault="00AA4F94" w:rsidP="00AA4F94">
      <w:pPr>
        <w:numPr>
          <w:ilvl w:val="0"/>
          <w:numId w:val="67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нужд потребителей;</w:t>
      </w:r>
    </w:p>
    <w:p w:rsidR="00AA4F94" w:rsidRDefault="00AA4F94" w:rsidP="00AA4F94">
      <w:pPr>
        <w:numPr>
          <w:ilvl w:val="0"/>
          <w:numId w:val="68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конкурентов;</w:t>
      </w:r>
    </w:p>
    <w:p w:rsidR="00AA4F94" w:rsidRDefault="00AA4F94" w:rsidP="00AA4F94">
      <w:pPr>
        <w:numPr>
          <w:ilvl w:val="0"/>
          <w:numId w:val="69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сильных и слабых сторон, возможностей и угроз;</w:t>
      </w:r>
    </w:p>
    <w:p w:rsidR="00AA4F94" w:rsidRDefault="00AA4F94" w:rsidP="00AA4F94">
      <w:pPr>
        <w:numPr>
          <w:ilvl w:val="0"/>
          <w:numId w:val="70"/>
        </w:numPr>
        <w:tabs>
          <w:tab w:val="left" w:pos="927"/>
        </w:tabs>
        <w:autoSpaceDE w:val="0"/>
        <w:autoSpaceDN w:val="0"/>
        <w:adjustRightInd w:val="0"/>
        <w:spacing w:line="360" w:lineRule="auto"/>
        <w:ind w:left="927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ресурсов и стратегии.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Структура </w:t>
      </w:r>
      <w:r>
        <w:rPr>
          <w:rFonts w:ascii="Times New Roman CYR" w:hAnsi="Times New Roman CYR" w:cs="Times New Roman CYR"/>
          <w:i/>
          <w:iCs/>
        </w:rPr>
        <w:t>сектора промышленности</w:t>
      </w:r>
      <w:r>
        <w:rPr>
          <w:rFonts w:ascii="Times New Roman CYR" w:hAnsi="Times New Roman CYR" w:cs="Times New Roman CYR"/>
        </w:rPr>
        <w:t xml:space="preserve"> имеет большое влияние на успех бизнеса. Контрольный список вопросов для анализа:</w:t>
      </w:r>
    </w:p>
    <w:p w:rsidR="00AA4F94" w:rsidRDefault="00AA4F94" w:rsidP="00AA4F94">
      <w:pPr>
        <w:numPr>
          <w:ilvl w:val="0"/>
          <w:numId w:val="7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 общий объем продаж по данному сектору;</w:t>
      </w:r>
    </w:p>
    <w:p w:rsidR="00AA4F94" w:rsidRDefault="00AA4F94" w:rsidP="00AA4F94">
      <w:pPr>
        <w:numPr>
          <w:ilvl w:val="0"/>
          <w:numId w:val="7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 общий объем продаж продукции, рассматриваемой в бизнес-плане;</w:t>
      </w:r>
    </w:p>
    <w:p w:rsidR="00AA4F94" w:rsidRDefault="00AA4F94" w:rsidP="00AA4F94">
      <w:pPr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какую часть продукции необходимо продавать на региональном, национальном и международном рынках;</w:t>
      </w:r>
    </w:p>
    <w:p w:rsidR="00AA4F94" w:rsidRDefault="00AA4F94" w:rsidP="00AA4F94">
      <w:pPr>
        <w:numPr>
          <w:ilvl w:val="0"/>
          <w:numId w:val="7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каковы тенденции (прогнозы) продаж продукции на внутреннем и международном рынках;</w:t>
      </w:r>
    </w:p>
    <w:p w:rsidR="00AA4F94" w:rsidRDefault="00AA4F94" w:rsidP="00AA4F94">
      <w:pPr>
        <w:numPr>
          <w:ilvl w:val="0"/>
          <w:numId w:val="7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какова обычная величина валовой прибыли;</w:t>
      </w:r>
    </w:p>
    <w:p w:rsidR="00AA4F94" w:rsidRDefault="00AA4F94" w:rsidP="00AA4F94">
      <w:pPr>
        <w:numPr>
          <w:ilvl w:val="0"/>
          <w:numId w:val="7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каковы сегменты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рынка (географические, промышленные, оптовые торговцы, и т.д.) в секторе промышленности, который представляет данный бизнес;</w:t>
      </w:r>
    </w:p>
    <w:p w:rsidR="00AA4F94" w:rsidRDefault="00AA4F94" w:rsidP="00AA4F94">
      <w:pPr>
        <w:numPr>
          <w:ilvl w:val="0"/>
          <w:numId w:val="7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какова средняя прибыльность соответствующей продукции;</w:t>
      </w:r>
    </w:p>
    <w:p w:rsidR="00AA4F94" w:rsidRDefault="00AA4F94" w:rsidP="00AA4F94">
      <w:pPr>
        <w:numPr>
          <w:ilvl w:val="0"/>
          <w:numId w:val="7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lastRenderedPageBreak/>
        <w:t>каковы ограничения по продажам продукции данного бизнеса, и как предполагается их преодолевать.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Бизнес должен удовлетворять ожиданиям потребителей, таких как розничные или оптовые торговцы, являющиеся собственниками магазинов или переработчиками продукции, и/или конечные пользователи. Контрольный список вопросов для </w:t>
      </w:r>
      <w:r>
        <w:rPr>
          <w:rFonts w:ascii="Times New Roman CYR" w:hAnsi="Times New Roman CYR" w:cs="Times New Roman CYR"/>
          <w:i/>
          <w:iCs/>
        </w:rPr>
        <w:t>анализа нужд конечного пользователя</w:t>
      </w:r>
      <w:r>
        <w:rPr>
          <w:rFonts w:ascii="Times New Roman CYR" w:hAnsi="Times New Roman CYR" w:cs="Times New Roman CYR"/>
        </w:rPr>
        <w:t>:</w:t>
      </w:r>
    </w:p>
    <w:p w:rsidR="00AA4F94" w:rsidRDefault="00AA4F94" w:rsidP="00AA4F94">
      <w:pPr>
        <w:numPr>
          <w:ilvl w:val="0"/>
          <w:numId w:val="7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кто является конечными пользователями?</w:t>
      </w:r>
    </w:p>
    <w:p w:rsidR="00AA4F94" w:rsidRDefault="00AA4F94" w:rsidP="00AA4F94">
      <w:pPr>
        <w:numPr>
          <w:ilvl w:val="0"/>
          <w:numId w:val="8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где они находятся?</w:t>
      </w:r>
    </w:p>
    <w:p w:rsidR="00AA4F94" w:rsidRDefault="00AA4F94" w:rsidP="00AA4F94">
      <w:pPr>
        <w:numPr>
          <w:ilvl w:val="0"/>
          <w:numId w:val="8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часто покупают продукцию?</w:t>
      </w:r>
    </w:p>
    <w:p w:rsidR="00AA4F94" w:rsidRDefault="00AA4F94" w:rsidP="00AA4F94">
      <w:pPr>
        <w:numPr>
          <w:ilvl w:val="0"/>
          <w:numId w:val="8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реагируют на цену продукции?</w:t>
      </w:r>
    </w:p>
    <w:p w:rsidR="00AA4F94" w:rsidRDefault="00AA4F94" w:rsidP="00AA4F94">
      <w:pPr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определяют качество продукции?</w:t>
      </w:r>
    </w:p>
    <w:p w:rsidR="00AA4F94" w:rsidRDefault="00AA4F94" w:rsidP="00AA4F94">
      <w:pPr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каких специальных качеств продукции хотят?</w:t>
      </w:r>
    </w:p>
    <w:p w:rsidR="00AA4F94" w:rsidRDefault="00AA4F94" w:rsidP="00AA4F94">
      <w:pPr>
        <w:numPr>
          <w:ilvl w:val="0"/>
          <w:numId w:val="8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сколько хотели бы заплатить за обслуживание?</w:t>
      </w:r>
    </w:p>
    <w:p w:rsidR="00AA4F94" w:rsidRDefault="00AA4F94" w:rsidP="00AA4F94">
      <w:pPr>
        <w:numPr>
          <w:ilvl w:val="0"/>
          <w:numId w:val="8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насколько удовлетворены существующей продукцией?</w:t>
      </w:r>
    </w:p>
    <w:p w:rsidR="00AA4F94" w:rsidRDefault="00AA4F94" w:rsidP="00AA4F94">
      <w:pPr>
        <w:numPr>
          <w:ilvl w:val="0"/>
          <w:numId w:val="8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типы людей, покупающих продукцию;</w:t>
      </w:r>
    </w:p>
    <w:p w:rsidR="00AA4F94" w:rsidRDefault="00AA4F94" w:rsidP="00AA4F94">
      <w:pPr>
        <w:numPr>
          <w:ilvl w:val="0"/>
          <w:numId w:val="8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основе каких факторов они принимают решение о покупке?</w:t>
      </w:r>
    </w:p>
    <w:p w:rsidR="00AA4F94" w:rsidRDefault="00AA4F94" w:rsidP="00AA4F94">
      <w:pPr>
        <w:numPr>
          <w:ilvl w:val="0"/>
          <w:numId w:val="8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какой уровень их дохода или к какой группе они относятся?</w:t>
      </w:r>
    </w:p>
    <w:p w:rsidR="00AA4F94" w:rsidRDefault="00AA4F94" w:rsidP="00AA4F94">
      <w:pPr>
        <w:numPr>
          <w:ilvl w:val="0"/>
          <w:numId w:val="9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какие магазины посещают, чтобы купить продукцию?</w:t>
      </w:r>
    </w:p>
    <w:p w:rsidR="00AA4F94" w:rsidRDefault="00AA4F94" w:rsidP="00AA4F94">
      <w:pPr>
        <w:numPr>
          <w:ilvl w:val="0"/>
          <w:numId w:val="9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делают ли сравнительные покупки?</w:t>
      </w:r>
    </w:p>
    <w:p w:rsidR="00AA4F94" w:rsidRDefault="00AA4F94" w:rsidP="00AA4F94">
      <w:pPr>
        <w:numPr>
          <w:ilvl w:val="0"/>
          <w:numId w:val="9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какой тип продвижения товара на рынок будет стимулировать их покупки?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Рыночная экономика - это конкуренция. Чтобы выжить и иметь успех, необходимо знать, кто является конкурентами, как они ведут бизнес, по возможности - ключевые факторы их успеха. Контрольный список вопросов для </w:t>
      </w:r>
      <w:r>
        <w:rPr>
          <w:rFonts w:ascii="Times New Roman CYR" w:hAnsi="Times New Roman CYR" w:cs="Times New Roman CYR"/>
          <w:i/>
          <w:iCs/>
        </w:rPr>
        <w:t>анализа конкуренции</w:t>
      </w:r>
      <w:r>
        <w:rPr>
          <w:rFonts w:ascii="Times New Roman CYR" w:hAnsi="Times New Roman CYR" w:cs="Times New Roman CYR"/>
        </w:rPr>
        <w:t>:</w:t>
      </w:r>
    </w:p>
    <w:p w:rsidR="00AA4F94" w:rsidRDefault="00AA4F94" w:rsidP="00AA4F94">
      <w:pPr>
        <w:numPr>
          <w:ilvl w:val="0"/>
          <w:numId w:val="9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каково качество продукции и услуг?</w:t>
      </w:r>
    </w:p>
    <w:p w:rsidR="00AA4F94" w:rsidRDefault="00AA4F94" w:rsidP="00AA4F94">
      <w:pPr>
        <w:numPr>
          <w:ilvl w:val="0"/>
          <w:numId w:val="9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какова репутация?</w:t>
      </w:r>
    </w:p>
    <w:p w:rsidR="00AA4F94" w:rsidRDefault="00AA4F94" w:rsidP="00AA4F94">
      <w:pPr>
        <w:numPr>
          <w:ilvl w:val="0"/>
          <w:numId w:val="9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лояльны ли к ним их покупатели?</w:t>
      </w:r>
    </w:p>
    <w:p w:rsidR="00AA4F94" w:rsidRDefault="00AA4F94" w:rsidP="00AA4F94">
      <w:pPr>
        <w:numPr>
          <w:ilvl w:val="0"/>
          <w:numId w:val="9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каков размер бизнеса (количественная оценка)?</w:t>
      </w:r>
    </w:p>
    <w:p w:rsidR="00AA4F94" w:rsidRDefault="00AA4F94" w:rsidP="00AA4F94">
      <w:pPr>
        <w:numPr>
          <w:ilvl w:val="0"/>
          <w:numId w:val="9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какой тип гарантий предлагают?</w:t>
      </w:r>
    </w:p>
    <w:p w:rsidR="00AA4F94" w:rsidRDefault="00AA4F94" w:rsidP="00AA4F94">
      <w:pPr>
        <w:numPr>
          <w:ilvl w:val="0"/>
          <w:numId w:val="9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распределяют свою продукцию?</w:t>
      </w:r>
    </w:p>
    <w:p w:rsidR="00AA4F94" w:rsidRDefault="00AA4F94" w:rsidP="00AA4F94">
      <w:pPr>
        <w:numPr>
          <w:ilvl w:val="0"/>
          <w:numId w:val="9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насколько эффективны?</w:t>
      </w:r>
    </w:p>
    <w:p w:rsidR="00AA4F94" w:rsidRDefault="00AA4F94" w:rsidP="00AA4F94">
      <w:pPr>
        <w:numPr>
          <w:ilvl w:val="0"/>
          <w:numId w:val="10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имеются ли надежные финансовые ресурсы?</w:t>
      </w:r>
    </w:p>
    <w:p w:rsidR="00AA4F94" w:rsidRDefault="00AA4F94" w:rsidP="00AA4F94">
      <w:pPr>
        <w:numPr>
          <w:ilvl w:val="0"/>
          <w:numId w:val="10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хорошо ли осуществляется руководство бизнесом?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Анализ сильных и слабых сторон, возможностей и угроз</w:t>
      </w:r>
      <w:r>
        <w:rPr>
          <w:rFonts w:ascii="Times New Roman CYR" w:hAnsi="Times New Roman CYR" w:cs="Times New Roman CYR"/>
        </w:rPr>
        <w:t>, основанный на исследовании действительного и потенциального рынков. Данный анализ служит средством выявления сравнительных преимуществ бизнеса. Решающие факторы успеха - эти факторы будут девизом, о котором нужно всегда помнить: существуют очень важные вещи, которые должны или не должны произойти, если компания намерена выжить и процветать. Следует назвать 3 -5 ключевых фактора успеха компании.</w:t>
      </w:r>
    </w:p>
    <w:p w:rsidR="00AA4F94" w:rsidRDefault="00AA4F94" w:rsidP="00AA4F94">
      <w:pPr>
        <w:keepNext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Количество идей, наименований продукции и сегментов рынка должно быть больше, чем компания может охватить в данный момент, поэтому необходимо разрабатывать новую продукцию, рынок и сегменты, если существующие не соответствуют нынешней стратегии, или следует заменить устаревшие. В начале каждого года следует определять приоритеты на следующий год. Самым простым способом является распределение цены на три группы сегментов или продукции для определения максимального эффекта.</w:t>
      </w:r>
    </w:p>
    <w:p w:rsidR="00AA4F94" w:rsidRDefault="00AA4F94" w:rsidP="00AA4F94">
      <w:pPr>
        <w:keepNext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Анализ ресурсов и стратегии</w:t>
      </w:r>
      <w:r>
        <w:rPr>
          <w:rFonts w:ascii="Times New Roman CYR" w:hAnsi="Times New Roman CYR" w:cs="Times New Roman CYR"/>
        </w:rPr>
        <w:t xml:space="preserve"> следует проводить одновременно для того, чтобы отобрать ресурсы, позволяющие получать максимальную отдачу. Это следует делать ежегодно. Анализируются финансовые и технологические ресурсы, обеспечение (сырье), производительность, персонал, возможности маркетинга, объем продаж, объем распределения и т.п.;</w:t>
      </w:r>
    </w:p>
    <w:p w:rsidR="00AA4F94" w:rsidRDefault="00AA4F94" w:rsidP="00AA4F94">
      <w:pPr>
        <w:keepNext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Маркетинговая стратегия, приведенная в данном разделе, обрисовывает специфические маркетинговые действия, которые предприниматель планирует осуществить для достижения своих целей.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Как известно маркетинговая стратегия состоит из четырех основных компонентов (4P-mix): продукт, место (распределение), продвижение и цена</w:t>
      </w:r>
      <w:r>
        <w:rPr>
          <w:rFonts w:ascii="Times New Roman CYR" w:hAnsi="Times New Roman CYR" w:cs="Times New Roman CYR"/>
          <w:i/>
          <w:iCs/>
        </w:rPr>
        <w:t>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проведения анализа продукта: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-  каковы специальные характеристики или уникальность продукции?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какое требуется качество продукции по сегментам рынка, на которые нацелен данный бизнес?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какое требуется количество продукции по сегментам рынка?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left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каков ассортимент продукции?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left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является ли она марочной или нет? Почему?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какой вид обслуживания предлагается вместе с продукцией?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left="567" w:firstLine="284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-  </w:t>
      </w:r>
      <w:r>
        <w:rPr>
          <w:rFonts w:ascii="Times New Roman CYR" w:hAnsi="Times New Roman CYR" w:cs="Times New Roman CYR"/>
        </w:rPr>
        <w:t>каков тип упаковки? Почему?</w:t>
      </w:r>
    </w:p>
    <w:p w:rsidR="00AA4F94" w:rsidRDefault="00AA4F94" w:rsidP="00AA4F94">
      <w:pPr>
        <w:keepNext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 каким должен быть срок хранения продукции?</w:t>
      </w:r>
    </w:p>
    <w:p w:rsidR="00AA4F94" w:rsidRDefault="00AA4F94" w:rsidP="00AA4F94">
      <w:pPr>
        <w:keepNext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какие предлагаются гарантии качества и/или срока хранения продукции?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проведения анализа места (распределения):</w:t>
      </w:r>
    </w:p>
    <w:p w:rsidR="00AA4F94" w:rsidRDefault="00AA4F94" w:rsidP="00AA4F94">
      <w:pPr>
        <w:numPr>
          <w:ilvl w:val="0"/>
          <w:numId w:val="10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каковы каналы распределения продукции по рыночным сегментам, и через какое количество точек розничной торговли оно осуществляется?</w:t>
      </w:r>
    </w:p>
    <w:p w:rsidR="00AA4F94" w:rsidRDefault="00AA4F94" w:rsidP="00AA4F94">
      <w:pPr>
        <w:numPr>
          <w:ilvl w:val="0"/>
          <w:numId w:val="103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каковы средства транспортировки продукции?</w:t>
      </w:r>
    </w:p>
    <w:p w:rsidR="00AA4F94" w:rsidRDefault="00AA4F94" w:rsidP="00AA4F94">
      <w:pPr>
        <w:numPr>
          <w:ilvl w:val="0"/>
          <w:numId w:val="104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используются ли собственные или другие средства транспортировки? </w:t>
      </w:r>
    </w:p>
    <w:p w:rsidR="00AA4F94" w:rsidRDefault="00AA4F94" w:rsidP="00AA4F94">
      <w:pPr>
        <w:numPr>
          <w:ilvl w:val="0"/>
          <w:numId w:val="105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перевозятся товары?</w:t>
      </w:r>
    </w:p>
    <w:p w:rsidR="00AA4F94" w:rsidRDefault="00AA4F94" w:rsidP="00AA4F94">
      <w:pPr>
        <w:numPr>
          <w:ilvl w:val="0"/>
          <w:numId w:val="106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какие используются возможности для хранения продукции?</w:t>
      </w:r>
    </w:p>
    <w:p w:rsidR="00AA4F94" w:rsidRDefault="00AA4F94" w:rsidP="00AA4F94">
      <w:pPr>
        <w:numPr>
          <w:ilvl w:val="0"/>
          <w:numId w:val="107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используется система управления запасами продукции и сохранения ее в  хорошем состоянии?</w:t>
      </w:r>
    </w:p>
    <w:p w:rsidR="00AA4F94" w:rsidRDefault="00AA4F94" w:rsidP="00AA4F94">
      <w:pPr>
        <w:numPr>
          <w:ilvl w:val="0"/>
          <w:numId w:val="108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распространяется информация о продукции?</w:t>
      </w:r>
    </w:p>
    <w:p w:rsidR="00AA4F94" w:rsidRDefault="00AA4F94" w:rsidP="00AA4F94">
      <w:pPr>
        <w:numPr>
          <w:ilvl w:val="0"/>
          <w:numId w:val="109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связано обслуживание с выбором каналов распределения?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проведения анализа продвижения (личные продажи):</w:t>
      </w:r>
    </w:p>
    <w:p w:rsidR="00AA4F94" w:rsidRDefault="00AA4F94" w:rsidP="00AA4F94">
      <w:pPr>
        <w:numPr>
          <w:ilvl w:val="0"/>
          <w:numId w:val="110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какое количество продавцов в области (районе, городе и т.п.)?</w:t>
      </w:r>
    </w:p>
    <w:p w:rsidR="00AA4F94" w:rsidRDefault="00AA4F94" w:rsidP="00AA4F94">
      <w:pPr>
        <w:numPr>
          <w:ilvl w:val="0"/>
          <w:numId w:val="1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специализированы ли продажи по географическому местоположению или типу продукции?</w:t>
      </w:r>
    </w:p>
    <w:p w:rsidR="00AA4F94" w:rsidRDefault="00AA4F94" w:rsidP="00AA4F94">
      <w:pPr>
        <w:numPr>
          <w:ilvl w:val="0"/>
          <w:numId w:val="11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практикуются ли комиссионные продажи?</w:t>
      </w:r>
    </w:p>
    <w:p w:rsidR="00AA4F94" w:rsidRDefault="00AA4F94" w:rsidP="00AA4F94">
      <w:pPr>
        <w:numPr>
          <w:ilvl w:val="0"/>
          <w:numId w:val="11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какова частота визитов к покупателям?</w:t>
      </w:r>
    </w:p>
    <w:p w:rsidR="00AA4F94" w:rsidRDefault="00AA4F94" w:rsidP="00AA4F94">
      <w:pPr>
        <w:numPr>
          <w:ilvl w:val="0"/>
          <w:numId w:val="1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насколько часто составляются отчеты о продажах?</w:t>
      </w:r>
    </w:p>
    <w:p w:rsidR="00AA4F94" w:rsidRDefault="00AA4F94" w:rsidP="00AA4F94">
      <w:pPr>
        <w:numPr>
          <w:ilvl w:val="0"/>
          <w:numId w:val="11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часто анализируются результаты продаж?</w:t>
      </w:r>
    </w:p>
    <w:p w:rsidR="00AA4F94" w:rsidRDefault="00AA4F94" w:rsidP="00AA4F94">
      <w:pPr>
        <w:numPr>
          <w:ilvl w:val="0"/>
          <w:numId w:val="1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насколько часто проводятся встречи-продажи?</w:t>
      </w:r>
    </w:p>
    <w:p w:rsidR="00AA4F94" w:rsidRDefault="00AA4F94" w:rsidP="00AA4F94">
      <w:pPr>
        <w:numPr>
          <w:ilvl w:val="0"/>
          <w:numId w:val="11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отбирается и нанимается торговый персонал?</w:t>
      </w:r>
    </w:p>
    <w:p w:rsidR="00AA4F94" w:rsidRDefault="00AA4F94" w:rsidP="00AA4F94">
      <w:pPr>
        <w:numPr>
          <w:ilvl w:val="0"/>
          <w:numId w:val="1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обучен ли персонал технике переговоров?</w:t>
      </w:r>
    </w:p>
    <w:p w:rsidR="00AA4F94" w:rsidRDefault="00AA4F94" w:rsidP="00AA4F94">
      <w:pPr>
        <w:numPr>
          <w:ilvl w:val="0"/>
          <w:numId w:val="11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используется ли навязывание товара?</w:t>
      </w:r>
    </w:p>
    <w:p w:rsidR="00AA4F94" w:rsidRDefault="00AA4F94" w:rsidP="00AA4F94">
      <w:pPr>
        <w:numPr>
          <w:ilvl w:val="0"/>
          <w:numId w:val="12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статистика о продажах, если ее можно собрать.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проведения анализа продвижения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(реклама):</w:t>
      </w:r>
    </w:p>
    <w:p w:rsidR="00AA4F94" w:rsidRDefault="00AA4F94" w:rsidP="00AA4F94">
      <w:pPr>
        <w:numPr>
          <w:ilvl w:val="0"/>
          <w:numId w:val="1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какой используется/предполагается использовать вид рекламы?</w:t>
      </w:r>
    </w:p>
    <w:p w:rsidR="00AA4F94" w:rsidRDefault="00AA4F94" w:rsidP="00AA4F94">
      <w:pPr>
        <w:numPr>
          <w:ilvl w:val="0"/>
          <w:numId w:val="1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определяется бюджет на рекламу?</w:t>
      </w:r>
    </w:p>
    <w:p w:rsidR="00AA4F94" w:rsidRDefault="00AA4F94" w:rsidP="00AA4F94">
      <w:pPr>
        <w:numPr>
          <w:ilvl w:val="0"/>
          <w:numId w:val="1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осуществляется выбор средств массовой информации (газета, радио, местное, федеральное, телевидение и т.д.)?</w:t>
      </w:r>
    </w:p>
    <w:p w:rsidR="00AA4F94" w:rsidRDefault="00AA4F94" w:rsidP="00AA4F94">
      <w:pPr>
        <w:numPr>
          <w:ilvl w:val="0"/>
          <w:numId w:val="1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какие рекламные сообщения и какое внешнее оформление рекламы используется?</w:t>
      </w:r>
    </w:p>
    <w:p w:rsidR="00AA4F94" w:rsidRDefault="00AA4F94" w:rsidP="00AA4F94">
      <w:pPr>
        <w:numPr>
          <w:ilvl w:val="0"/>
          <w:numId w:val="12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какой составляется график рекламной кампании?</w:t>
      </w:r>
    </w:p>
    <w:p w:rsidR="00AA4F94" w:rsidRDefault="00AA4F94" w:rsidP="00AA4F94">
      <w:pPr>
        <w:numPr>
          <w:ilvl w:val="0"/>
          <w:numId w:val="12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измеряется эффект от рекламы?</w:t>
      </w:r>
    </w:p>
    <w:p w:rsidR="00AA4F94" w:rsidRDefault="00AA4F94" w:rsidP="00AA4F94">
      <w:pPr>
        <w:numPr>
          <w:ilvl w:val="0"/>
          <w:numId w:val="1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отбираются рекламные агенты?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проведения анализа продвижения на рынок:</w:t>
      </w:r>
    </w:p>
    <w:p w:rsidR="00AA4F94" w:rsidRDefault="00AA4F94" w:rsidP="00AA4F94">
      <w:pPr>
        <w:numPr>
          <w:ilvl w:val="0"/>
          <w:numId w:val="12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осуществляются ли покупки подарков для установления деловых отношений?</w:t>
      </w:r>
    </w:p>
    <w:p w:rsidR="00AA4F94" w:rsidRDefault="00AA4F94" w:rsidP="00AA4F94">
      <w:pPr>
        <w:numPr>
          <w:ilvl w:val="0"/>
          <w:numId w:val="1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предлагаются ли специальные цены? В течение какого срока они действуют?</w:t>
      </w:r>
    </w:p>
    <w:p w:rsidR="00AA4F94" w:rsidRDefault="00AA4F94" w:rsidP="00AA4F94">
      <w:pPr>
        <w:numPr>
          <w:ilvl w:val="0"/>
          <w:numId w:val="1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организуются ли викторины, конкурсы и игры, способствующие продвижению товара на рынок?</w:t>
      </w:r>
    </w:p>
    <w:p w:rsidR="00AA4F94" w:rsidRDefault="00AA4F94" w:rsidP="00AA4F94">
      <w:pPr>
        <w:numPr>
          <w:ilvl w:val="0"/>
          <w:numId w:val="1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насколько посредник приспособлен к этим формам продвижения товара на рынок?</w:t>
      </w:r>
    </w:p>
    <w:p w:rsidR="00AA4F94" w:rsidRDefault="00AA4F94" w:rsidP="00AA4F94">
      <w:pPr>
        <w:numPr>
          <w:ilvl w:val="0"/>
          <w:numId w:val="1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существуют ли какие либо юридические требования для проведения подобных мероприятий? Соблюдаются ли они?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проведения анализа продвижения (связи с общественностью):</w:t>
      </w:r>
    </w:p>
    <w:p w:rsidR="00AA4F94" w:rsidRDefault="00AA4F94" w:rsidP="00AA4F94">
      <w:pPr>
        <w:numPr>
          <w:ilvl w:val="0"/>
          <w:numId w:val="13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поддерживаются контакты с прессой (пресс-релизы, конференции)?</w:t>
      </w:r>
    </w:p>
    <w:p w:rsidR="00AA4F94" w:rsidRDefault="00AA4F94" w:rsidP="00AA4F94">
      <w:pPr>
        <w:numPr>
          <w:ilvl w:val="0"/>
          <w:numId w:val="134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организуются ли какие-либо информационные встречи, дни открытых дверей, экскурсии и т.д.?</w:t>
      </w:r>
    </w:p>
    <w:p w:rsidR="00AA4F94" w:rsidRDefault="00AA4F94" w:rsidP="00AA4F94">
      <w:pPr>
        <w:numPr>
          <w:ilvl w:val="0"/>
          <w:numId w:val="135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участвует ли кто-либо из членов правления в мероприятиях по связям с общественностью?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-   существуют ли какие-либо контакты с местными органами власти или другими правительственными организациями?</w:t>
      </w:r>
    </w:p>
    <w:p w:rsidR="00AA4F94" w:rsidRDefault="00AA4F94" w:rsidP="00AA4F94">
      <w:pPr>
        <w:numPr>
          <w:ilvl w:val="0"/>
          <w:numId w:val="136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осуществляется ли публикация годовых отчетов финансовой деятельности?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проведения анализа цены:</w:t>
      </w:r>
    </w:p>
    <w:p w:rsidR="00AA4F94" w:rsidRDefault="00AA4F94" w:rsidP="00AA4F94">
      <w:pPr>
        <w:numPr>
          <w:ilvl w:val="0"/>
          <w:numId w:val="137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 уровень цен?</w:t>
      </w:r>
    </w:p>
    <w:p w:rsidR="00AA4F94" w:rsidRDefault="00AA4F94" w:rsidP="00AA4F94">
      <w:pPr>
        <w:numPr>
          <w:ilvl w:val="0"/>
          <w:numId w:val="138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какова цена с учетом проведения маркетинговых мероприятий, упомянутых ранее?</w:t>
      </w:r>
    </w:p>
    <w:p w:rsidR="00AA4F94" w:rsidRDefault="00AA4F94" w:rsidP="00AA4F94">
      <w:pPr>
        <w:numPr>
          <w:ilvl w:val="0"/>
          <w:numId w:val="139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 уровень цен в сравнении с конкурентами?</w:t>
      </w:r>
    </w:p>
    <w:p w:rsidR="00AA4F94" w:rsidRDefault="00AA4F94" w:rsidP="00AA4F94">
      <w:pPr>
        <w:numPr>
          <w:ilvl w:val="0"/>
          <w:numId w:val="140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существуют ли уровни интервенции цен?</w:t>
      </w:r>
    </w:p>
    <w:p w:rsidR="00AA4F94" w:rsidRDefault="00AA4F94" w:rsidP="00AA4F94">
      <w:pPr>
        <w:numPr>
          <w:ilvl w:val="0"/>
          <w:numId w:val="14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проводятся ли какие-либо специальные мероприятия, связанные с ценообразованием?</w:t>
      </w:r>
    </w:p>
    <w:p w:rsidR="00AA4F94" w:rsidRDefault="00AA4F94" w:rsidP="00AA4F94">
      <w:pPr>
        <w:numPr>
          <w:ilvl w:val="0"/>
          <w:numId w:val="14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предлагается ли специальная цена для посредника (розничная скидка или фиксированная цена)?</w:t>
      </w:r>
    </w:p>
    <w:p w:rsidR="00AA4F94" w:rsidRDefault="00AA4F94" w:rsidP="00AA4F94">
      <w:pPr>
        <w:numPr>
          <w:ilvl w:val="0"/>
          <w:numId w:val="14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существует ли какая-либо система скидок (например, по количеству или сезонности покупок)?</w:t>
      </w:r>
    </w:p>
    <w:p w:rsidR="00AA4F94" w:rsidRDefault="00AA4F94" w:rsidP="00AA4F94">
      <w:pPr>
        <w:numPr>
          <w:ilvl w:val="0"/>
          <w:numId w:val="14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используются ли бонусы, предоставляемые клиентам для достижения определенного уровня годового оборота?</w:t>
      </w:r>
    </w:p>
    <w:p w:rsidR="00AA4F94" w:rsidRDefault="00AA4F94" w:rsidP="00AA4F94">
      <w:pPr>
        <w:numPr>
          <w:ilvl w:val="0"/>
          <w:numId w:val="14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какова политика дифференциации цен?</w:t>
      </w:r>
    </w:p>
    <w:p w:rsidR="00AA4F94" w:rsidRDefault="00AA4F94" w:rsidP="00AA4F94">
      <w:pPr>
        <w:numPr>
          <w:ilvl w:val="0"/>
          <w:numId w:val="14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каковы специальные условия оплаты?</w:t>
      </w:r>
    </w:p>
    <w:p w:rsidR="00AA4F94" w:rsidRDefault="00AA4F94" w:rsidP="00AA4F94">
      <w:pPr>
        <w:numPr>
          <w:ilvl w:val="0"/>
          <w:numId w:val="14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какова конкуренция среди посредников?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стадии "</w:t>
      </w:r>
      <w:r>
        <w:rPr>
          <w:rFonts w:ascii="Times New Roman CYR" w:hAnsi="Times New Roman CYR" w:cs="Times New Roman CYR"/>
          <w:b/>
          <w:bCs/>
          <w:i/>
          <w:iCs/>
        </w:rPr>
        <w:t>Производство и эксплуатация</w:t>
      </w:r>
      <w:r>
        <w:rPr>
          <w:rFonts w:ascii="Times New Roman CYR" w:hAnsi="Times New Roman CYR" w:cs="Times New Roman CYR"/>
        </w:rPr>
        <w:t>" предполагается, что по созданию, расширению или реструктурированию бизнеса уже, в принципе, принято решение и, что установлен приблизительный временной период для осуществления плана.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данном разделе необходимо дать подробное описание процесса производства и организации работ, уделяя внимание оценке всех факторов, влияющих на стоимость (календарный план представляет собой один из таких факторов, так как расходы появляются раньше, чем будет получен доход от бизнеса).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а) Планы развития.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Обычно бизнес-план включает раздел по разработке стратегии инвестиций в здания и/или производственные линии, и также возможные мероприятия по реализации зданий, станков и оборудования, которые не потребуются после осуществления бизнес-плана. Поэтому бизнес-план содержит также информацию о поступлениях от проданных или сданных в аренду активов, которые не используются в будущем.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Должен быть разработан календарный план в форме графика расходов, по которым будет получена финансовая отдача.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б) Покупка производственного предприятия и оборудования.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i/>
          <w:iCs/>
        </w:rPr>
        <w:t>Покупка (реконструкция)производственного предприятия. Закупка станков / обору- дования.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Требования к местной инфраструктуре:</w:t>
      </w:r>
    </w:p>
    <w:p w:rsidR="00AA4F94" w:rsidRDefault="00AA4F94" w:rsidP="00AA4F94">
      <w:pPr>
        <w:widowControl w:val="0"/>
        <w:numPr>
          <w:ilvl w:val="0"/>
          <w:numId w:val="14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должны соблюдаться основные существующие требования к </w:t>
      </w:r>
      <w:r>
        <w:rPr>
          <w:rFonts w:ascii="Times New Roman CYR" w:hAnsi="Times New Roman CYR" w:cs="Times New Roman CYR"/>
        </w:rPr>
        <w:lastRenderedPageBreak/>
        <w:t>инфраструктуре.</w:t>
      </w:r>
    </w:p>
    <w:p w:rsidR="00AA4F94" w:rsidRDefault="00AA4F94" w:rsidP="00AA4F94">
      <w:pPr>
        <w:widowControl w:val="0"/>
        <w:numPr>
          <w:ilvl w:val="0"/>
          <w:numId w:val="14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прежде чем составить рекомендации в бизнес-плане, следует подробно изучить все возможные варианты по использованию существующих или возведению новых зданий.</w:t>
      </w:r>
    </w:p>
    <w:p w:rsidR="00AA4F94" w:rsidRDefault="00AA4F94" w:rsidP="00AA4F94">
      <w:pPr>
        <w:widowControl w:val="0"/>
        <w:numPr>
          <w:ilvl w:val="0"/>
          <w:numId w:val="15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должны быть посчитаны все расходы, а не только затраты, связанные с производством. Могут возникнуть многие другие расходы в период между поставкой оборудования и его установкой для работы в производственных помещениях.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в) План производства и расчет выпуска продукции.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Этот раздел очень важен, поскольку он позволяет оценить степень реалистичности бизнес-плана. Для большинства планов объем выпуска продукции будет постепенно достигать своей проектируемой величины (это также называют "кривой изучения"). Бизнес план, в котором объем выпуска продукции достигает необходимой величины в первый день производственного процесса, наверняка будет оспорен.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г) Производственные факторы.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Они представляют собой основу для финансовых расчетов. Существенно важно перечислить все затраты, необходимые для запуска производственного процесса, а также получения сопутствующей продукции, образующейся в процессе основного производства, поскольку она могла бы иметь определенную коммерческую ценность.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Необходимо четко разделять производственные факторы, которые в количественном выражении изменяются пропорционально объему производства, и факторы, которые не будут изменяться в зависимости от изменения объема производства (постоянные и переменные затраты).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д) План производства и эксплуатации.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Этот раздел непосредственно связан с расчетом потока наличных средств по проекту. Поэтому он должен быть составлен на базе реальной </w:t>
      </w:r>
      <w:r>
        <w:rPr>
          <w:rFonts w:ascii="Times New Roman CYR" w:hAnsi="Times New Roman CYR" w:cs="Times New Roman CYR"/>
        </w:rPr>
        <w:lastRenderedPageBreak/>
        <w:t>информации о среде, в которой будет выполняться рассматриваемый проект.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составления раздела производства и эксплуатации (требования к местной инфраструктуре):</w:t>
      </w:r>
    </w:p>
    <w:p w:rsidR="00AA4F94" w:rsidRDefault="00AA4F94" w:rsidP="00AA4F94">
      <w:pPr>
        <w:widowControl w:val="0"/>
        <w:numPr>
          <w:ilvl w:val="0"/>
          <w:numId w:val="15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местоположение по отношению к главным магистралям и системам обслуживания;</w:t>
      </w:r>
    </w:p>
    <w:p w:rsidR="00AA4F94" w:rsidRDefault="00AA4F94" w:rsidP="00AA4F94">
      <w:pPr>
        <w:widowControl w:val="0"/>
        <w:numPr>
          <w:ilvl w:val="0"/>
          <w:numId w:val="15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водообеспечение нынешних и будущих потребностей (количество и качество);</w:t>
      </w:r>
    </w:p>
    <w:p w:rsidR="00AA4F94" w:rsidRDefault="00AA4F94" w:rsidP="00AA4F94">
      <w:pPr>
        <w:widowControl w:val="0"/>
        <w:numPr>
          <w:ilvl w:val="0"/>
          <w:numId w:val="15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электроэнергия (мощность трансформатора, расстояние до подстанции);</w:t>
      </w:r>
    </w:p>
    <w:p w:rsidR="00AA4F94" w:rsidRDefault="00AA4F94" w:rsidP="00AA4F94">
      <w:pPr>
        <w:widowControl w:val="0"/>
        <w:numPr>
          <w:ilvl w:val="0"/>
          <w:numId w:val="15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телекоммуникации (наличие, возможное время использования);</w:t>
      </w:r>
    </w:p>
    <w:p w:rsidR="00AA4F94" w:rsidRDefault="00AA4F94" w:rsidP="00AA4F94">
      <w:pPr>
        <w:widowControl w:val="0"/>
        <w:numPr>
          <w:ilvl w:val="0"/>
          <w:numId w:val="15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окружающая среда (выхлопные газы, шум, движение транспорта и т.д.);</w:t>
      </w:r>
    </w:p>
    <w:p w:rsidR="00AA4F94" w:rsidRDefault="00AA4F94" w:rsidP="00AA4F94">
      <w:pPr>
        <w:widowControl w:val="0"/>
        <w:numPr>
          <w:ilvl w:val="0"/>
          <w:numId w:val="15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сточные воды (предприятие водоочистки, достаточная мощность);</w:t>
      </w:r>
    </w:p>
    <w:p w:rsidR="00AA4F94" w:rsidRDefault="00AA4F94" w:rsidP="00AA4F94">
      <w:pPr>
        <w:widowControl w:val="0"/>
        <w:numPr>
          <w:ilvl w:val="0"/>
          <w:numId w:val="15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рабочая сила (наличие, квалификация);</w:t>
      </w:r>
    </w:p>
    <w:p w:rsidR="00AA4F94" w:rsidRDefault="00AA4F94" w:rsidP="00AA4F94">
      <w:pPr>
        <w:widowControl w:val="0"/>
        <w:numPr>
          <w:ilvl w:val="0"/>
          <w:numId w:val="15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наличие вспомогательной службы (электрики, водопроводчики и т.д.);</w:t>
      </w:r>
    </w:p>
    <w:p w:rsidR="00AA4F94" w:rsidRDefault="00AA4F94" w:rsidP="00AA4F94">
      <w:pPr>
        <w:widowControl w:val="0"/>
        <w:numPr>
          <w:ilvl w:val="0"/>
          <w:numId w:val="15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политическая ситуация (заинтересованность в проекте местной общественности);</w:t>
      </w:r>
    </w:p>
    <w:p w:rsidR="00AA4F94" w:rsidRDefault="00AA4F94" w:rsidP="00AA4F94">
      <w:pPr>
        <w:widowControl w:val="0"/>
        <w:numPr>
          <w:ilvl w:val="0"/>
          <w:numId w:val="16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система налогообложения.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составления раздела производства и эксплуатации (покупка/реконструкция производственного предприятия).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Если для производственного процесса предполагается использование существующих зданий, то следует принимать во внимание следующее:</w:t>
      </w:r>
    </w:p>
    <w:p w:rsidR="00AA4F94" w:rsidRDefault="00AA4F94" w:rsidP="00AA4F94">
      <w:pPr>
        <w:widowControl w:val="0"/>
        <w:numPr>
          <w:ilvl w:val="0"/>
          <w:numId w:val="16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общее состояние площадки, на которой расположено здание;</w:t>
      </w:r>
    </w:p>
    <w:p w:rsidR="00AA4F94" w:rsidRDefault="00AA4F94" w:rsidP="00AA4F94">
      <w:pPr>
        <w:widowControl w:val="0"/>
        <w:numPr>
          <w:ilvl w:val="0"/>
          <w:numId w:val="16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общее состояние ремонтных работ;</w:t>
      </w:r>
    </w:p>
    <w:p w:rsidR="00AA4F94" w:rsidRDefault="00AA4F94" w:rsidP="00AA4F94">
      <w:pPr>
        <w:widowControl w:val="0"/>
        <w:numPr>
          <w:ilvl w:val="0"/>
          <w:numId w:val="16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планировка (демонтаж существующих стен, сооружение новых); </w:t>
      </w:r>
    </w:p>
    <w:p w:rsidR="00AA4F94" w:rsidRDefault="00AA4F94" w:rsidP="00AA4F94">
      <w:pPr>
        <w:widowControl w:val="0"/>
        <w:numPr>
          <w:ilvl w:val="0"/>
          <w:numId w:val="16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требования к работам по сносу сооружений и вывоз строительного мусора; </w:t>
      </w:r>
    </w:p>
    <w:p w:rsidR="00AA4F94" w:rsidRDefault="00AA4F94" w:rsidP="00AA4F94">
      <w:pPr>
        <w:widowControl w:val="0"/>
        <w:numPr>
          <w:ilvl w:val="0"/>
          <w:numId w:val="16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наличие необходимого места для хранения и технического обслуживания;</w:t>
      </w:r>
    </w:p>
    <w:p w:rsidR="00AA4F94" w:rsidRDefault="00AA4F94" w:rsidP="00AA4F94">
      <w:pPr>
        <w:widowControl w:val="0"/>
        <w:numPr>
          <w:ilvl w:val="0"/>
          <w:numId w:val="16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условия для проводки электричества;</w:t>
      </w:r>
    </w:p>
    <w:p w:rsidR="00AA4F94" w:rsidRDefault="00AA4F94" w:rsidP="00AA4F94">
      <w:pPr>
        <w:widowControl w:val="0"/>
        <w:numPr>
          <w:ilvl w:val="0"/>
          <w:numId w:val="16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состояние канализационной системы;</w:t>
      </w:r>
    </w:p>
    <w:p w:rsidR="00AA4F94" w:rsidRDefault="00AA4F94" w:rsidP="00AA4F94">
      <w:pPr>
        <w:widowControl w:val="0"/>
        <w:numPr>
          <w:ilvl w:val="0"/>
          <w:numId w:val="16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модификации с целью удовлетворения гигиеническим требованиям;</w:t>
      </w:r>
    </w:p>
    <w:p w:rsidR="00AA4F94" w:rsidRDefault="00AA4F94" w:rsidP="00AA4F94">
      <w:pPr>
        <w:widowControl w:val="0"/>
        <w:numPr>
          <w:ilvl w:val="0"/>
          <w:numId w:val="16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наличие офиса и/или места для размещения лаборатории и их состояние;</w:t>
      </w:r>
    </w:p>
    <w:p w:rsidR="00AA4F94" w:rsidRDefault="00AA4F94" w:rsidP="00AA4F94">
      <w:pPr>
        <w:widowControl w:val="0"/>
        <w:numPr>
          <w:ilvl w:val="0"/>
          <w:numId w:val="17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помещения для персонала (столовая, комната для хранения вещей с индивидуальными запирающимися шкафчиками и т.д.);место для парковки;</w:t>
      </w:r>
    </w:p>
    <w:p w:rsidR="00AA4F94" w:rsidRDefault="00AA4F94" w:rsidP="00AA4F94">
      <w:pPr>
        <w:widowControl w:val="0"/>
        <w:numPr>
          <w:ilvl w:val="0"/>
          <w:numId w:val="17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подъездные дороги.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составления раздела производства и эксплуатации (физические капитальные вложения):</w:t>
      </w:r>
    </w:p>
    <w:p w:rsidR="00AA4F94" w:rsidRDefault="00AA4F94" w:rsidP="00AA4F94">
      <w:pPr>
        <w:widowControl w:val="0"/>
        <w:numPr>
          <w:ilvl w:val="0"/>
          <w:numId w:val="17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предварительное техническое изучение;</w:t>
      </w:r>
    </w:p>
    <w:p w:rsidR="00AA4F94" w:rsidRDefault="00AA4F94" w:rsidP="00AA4F94">
      <w:pPr>
        <w:widowControl w:val="0"/>
        <w:numPr>
          <w:ilvl w:val="0"/>
          <w:numId w:val="17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затраты на производственные линии и вспомогательное оборудование; затраты на доставку (включая упаковку, расходы на страхование отправки, и т.д.);</w:t>
      </w:r>
    </w:p>
    <w:p w:rsidR="00AA4F94" w:rsidRDefault="00AA4F94" w:rsidP="00AA4F94">
      <w:pPr>
        <w:widowControl w:val="0"/>
        <w:numPr>
          <w:ilvl w:val="0"/>
          <w:numId w:val="17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сборка и установка на площадке; </w:t>
      </w:r>
    </w:p>
    <w:p w:rsidR="00AA4F94" w:rsidRDefault="00AA4F94" w:rsidP="00AA4F94">
      <w:pPr>
        <w:widowControl w:val="0"/>
        <w:numPr>
          <w:ilvl w:val="0"/>
          <w:numId w:val="17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ввод предприятия в эксплуатацию и приемка комиссией; </w:t>
      </w:r>
    </w:p>
    <w:p w:rsidR="00AA4F94" w:rsidRDefault="00AA4F94" w:rsidP="00AA4F94">
      <w:pPr>
        <w:widowControl w:val="0"/>
        <w:numPr>
          <w:ilvl w:val="0"/>
          <w:numId w:val="17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специальное обучение операторов;</w:t>
      </w:r>
    </w:p>
    <w:p w:rsidR="00AA4F94" w:rsidRDefault="00AA4F94" w:rsidP="00AA4F94">
      <w:pPr>
        <w:widowControl w:val="0"/>
        <w:numPr>
          <w:ilvl w:val="0"/>
          <w:numId w:val="17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последующее обслуживание: доводка и точная настройка аппаратуры;</w:t>
      </w:r>
    </w:p>
    <w:p w:rsidR="00AA4F94" w:rsidRDefault="00AA4F94" w:rsidP="00AA4F94">
      <w:pPr>
        <w:widowControl w:val="0"/>
        <w:numPr>
          <w:ilvl w:val="0"/>
          <w:numId w:val="17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хранение запасных частей и специальные инструменты для технического обслуживания;</w:t>
      </w:r>
    </w:p>
    <w:p w:rsidR="00AA4F94" w:rsidRDefault="00AA4F94" w:rsidP="00AA4F94">
      <w:pPr>
        <w:widowControl w:val="0"/>
        <w:numPr>
          <w:ilvl w:val="0"/>
          <w:numId w:val="17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>заинтересованность в финансировании, осуществленном поставщиками;</w:t>
      </w:r>
    </w:p>
    <w:p w:rsidR="00AA4F94" w:rsidRDefault="00AA4F94" w:rsidP="00AA4F94">
      <w:pPr>
        <w:widowControl w:val="0"/>
        <w:numPr>
          <w:ilvl w:val="0"/>
          <w:numId w:val="18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>заинтересованность в авансовых платежах поставщикам;</w:t>
      </w:r>
    </w:p>
    <w:p w:rsidR="00AA4F94" w:rsidRDefault="00AA4F94" w:rsidP="00AA4F94">
      <w:pPr>
        <w:widowControl w:val="0"/>
        <w:numPr>
          <w:ilvl w:val="0"/>
          <w:numId w:val="181"/>
        </w:numPr>
        <w:tabs>
          <w:tab w:val="left" w:pos="927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>платежи в иностранной валюте.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Контрольный список вопросов для составления раздела производства и </w:t>
      </w:r>
      <w:r>
        <w:rPr>
          <w:rFonts w:ascii="Times New Roman CYR" w:hAnsi="Times New Roman CYR" w:cs="Times New Roman CYR"/>
        </w:rPr>
        <w:lastRenderedPageBreak/>
        <w:t>эксплуатации (план производства и расчет выпуска продукции):</w:t>
      </w:r>
    </w:p>
    <w:p w:rsidR="00AA4F94" w:rsidRDefault="00AA4F94" w:rsidP="00AA4F94">
      <w:pPr>
        <w:widowControl w:val="0"/>
        <w:numPr>
          <w:ilvl w:val="0"/>
          <w:numId w:val="18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ограниченный выпуск продукции в период ввода в эксплуатацию;</w:t>
      </w:r>
    </w:p>
    <w:p w:rsidR="00AA4F94" w:rsidRDefault="00AA4F94" w:rsidP="00AA4F94">
      <w:pPr>
        <w:widowControl w:val="0"/>
        <w:numPr>
          <w:ilvl w:val="0"/>
          <w:numId w:val="18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риск выпуска нестандартной продукции;</w:t>
      </w:r>
    </w:p>
    <w:p w:rsidR="00AA4F94" w:rsidRDefault="00AA4F94" w:rsidP="00AA4F94">
      <w:pPr>
        <w:widowControl w:val="0"/>
        <w:numPr>
          <w:ilvl w:val="0"/>
          <w:numId w:val="18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постепенное увеличение мощности до вывода предприятия на полную мощность;</w:t>
      </w:r>
    </w:p>
    <w:p w:rsidR="00AA4F94" w:rsidRDefault="00AA4F94" w:rsidP="00AA4F94">
      <w:pPr>
        <w:widowControl w:val="0"/>
        <w:numPr>
          <w:ilvl w:val="0"/>
          <w:numId w:val="18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использование производственной мощности по установленному режиму эксплуатации оборудования;</w:t>
      </w:r>
    </w:p>
    <w:p w:rsidR="00AA4F94" w:rsidRDefault="00AA4F94" w:rsidP="00AA4F94">
      <w:pPr>
        <w:widowControl w:val="0"/>
        <w:numPr>
          <w:ilvl w:val="0"/>
          <w:numId w:val="18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норма рабочего времени;</w:t>
      </w:r>
    </w:p>
    <w:p w:rsidR="00AA4F94" w:rsidRDefault="00AA4F94" w:rsidP="00AA4F94">
      <w:pPr>
        <w:widowControl w:val="0"/>
        <w:numPr>
          <w:ilvl w:val="0"/>
          <w:numId w:val="18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коэффициент использования производственной мощности за время эксплуатации оборудования;</w:t>
      </w:r>
    </w:p>
    <w:p w:rsidR="00AA4F94" w:rsidRDefault="00AA4F94" w:rsidP="00AA4F94">
      <w:pPr>
        <w:widowControl w:val="0"/>
        <w:numPr>
          <w:ilvl w:val="0"/>
          <w:numId w:val="18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временной график ремонтных работ и работ по обслуживанию оборудования.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Производственные факторы:</w:t>
      </w:r>
    </w:p>
    <w:p w:rsidR="00AA4F94" w:rsidRDefault="00AA4F94" w:rsidP="00AA4F94">
      <w:pPr>
        <w:widowControl w:val="0"/>
        <w:numPr>
          <w:ilvl w:val="0"/>
          <w:numId w:val="18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пропорциональные факторы: основные сырьевые материалы; дополнительное производство продукции; энергия (уголь, газ, нефть, электричество); трущиеся и изнашивающиеся части; упаковочный материал; сопутствующая продукция; </w:t>
      </w:r>
    </w:p>
    <w:p w:rsidR="00AA4F94" w:rsidRDefault="00AA4F94" w:rsidP="00AA4F94">
      <w:pPr>
        <w:widowControl w:val="0"/>
        <w:numPr>
          <w:ilvl w:val="0"/>
          <w:numId w:val="19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>непропорциональные (постоянные) производственные факторы: заработная плата штатного персонала; страховка; расходы на техническое обслуживание в соответствии с установленным графиком; работы по очистке предприятия; мобильное оборудование (которое обычно используется для широкого круга работ, оно может считаться постоянным производственным фактором).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left="633" w:firstLine="218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Производственный план:</w:t>
      </w:r>
    </w:p>
    <w:p w:rsidR="00AA4F94" w:rsidRDefault="00AA4F94" w:rsidP="00AA4F94">
      <w:pPr>
        <w:widowControl w:val="0"/>
        <w:numPr>
          <w:ilvl w:val="0"/>
          <w:numId w:val="19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колебания поставок сырья в течение года (особенно для сырьевых материалов сельскохозяйственного происхождения);</w:t>
      </w:r>
    </w:p>
    <w:p w:rsidR="00AA4F94" w:rsidRDefault="00AA4F94" w:rsidP="00AA4F94">
      <w:pPr>
        <w:widowControl w:val="0"/>
        <w:numPr>
          <w:ilvl w:val="0"/>
          <w:numId w:val="19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окончательный спрос на продукцию за год (особенно для продукции сельскохозяйственного назначения);</w:t>
      </w:r>
    </w:p>
    <w:p w:rsidR="00AA4F94" w:rsidRDefault="00AA4F94" w:rsidP="00AA4F94">
      <w:pPr>
        <w:widowControl w:val="0"/>
        <w:numPr>
          <w:ilvl w:val="0"/>
          <w:numId w:val="19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условия хранения готовой продукции (длительность сроков хранения требует дополнительных финансовых средств);</w:t>
      </w:r>
    </w:p>
    <w:p w:rsidR="00AA4F94" w:rsidRDefault="00AA4F94" w:rsidP="00AA4F94">
      <w:pPr>
        <w:widowControl w:val="0"/>
        <w:numPr>
          <w:ilvl w:val="0"/>
          <w:numId w:val="19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периоды ожидаемых неблагоприятных погодных условий;</w:t>
      </w:r>
    </w:p>
    <w:p w:rsidR="00AA4F94" w:rsidRDefault="00AA4F94" w:rsidP="00AA4F94">
      <w:pPr>
        <w:widowControl w:val="0"/>
        <w:numPr>
          <w:ilvl w:val="0"/>
          <w:numId w:val="19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ограничения производственного процесса и предельная мощность (следует принять во внимание непредвиденные задержки в выполнении ремонтных работ или непредвиденное снижение мощности вследствие определенных условий работы).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left="491" w:firstLine="36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Система контроля качества:</w:t>
      </w:r>
    </w:p>
    <w:p w:rsidR="00AA4F94" w:rsidRDefault="00AA4F94" w:rsidP="00AA4F94">
      <w:pPr>
        <w:widowControl w:val="0"/>
        <w:tabs>
          <w:tab w:val="center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 xml:space="preserve">-  </w:t>
      </w:r>
      <w:r>
        <w:rPr>
          <w:rFonts w:ascii="Times New Roman CYR" w:hAnsi="Times New Roman CYR" w:cs="Times New Roman CYR"/>
        </w:rPr>
        <w:t>необходимо объяснить систему контроля качества, которая будет применяться. Она должна представлять собой систему, позволяющую в любое время осуществить проверку соответствия выпущенной продукции установленным стандартам. Это процесс должен включать этап проверки сырьевых материалов, а также готовой продукции для того, чтобы настроить производственные линии и пересмотреть процесс производства с теоретической точки зрения для поддержания необходимого уровня затрат и постоянного уровня качества готовой продукции.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Рассмотрим раздел "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и процесс принятия решений</w:t>
      </w:r>
      <w:r>
        <w:rPr>
          <w:rFonts w:ascii="Times New Roman CYR" w:hAnsi="Times New Roman CYR" w:cs="Times New Roman CYR"/>
        </w:rPr>
        <w:t xml:space="preserve">".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Команда управления имеет решающее значение для успеха бизнеса. Однако значение команды управления не должно преувеличиваться при принятии решений об инвестициях. Команда управления должна обладать навыками в области маркетинга, финансов и производства.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Контрольный список вопросов для описания системы управления и процесса принятия решений:</w:t>
      </w:r>
    </w:p>
    <w:p w:rsidR="00AA4F94" w:rsidRDefault="00AA4F94" w:rsidP="00AA4F94">
      <w:pPr>
        <w:widowControl w:val="0"/>
        <w:numPr>
          <w:ilvl w:val="0"/>
          <w:numId w:val="19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cхематическое описание организационной структуры управления предприятием;</w:t>
      </w:r>
    </w:p>
    <w:p w:rsidR="00AA4F94" w:rsidRDefault="00AA4F94" w:rsidP="00AA4F94">
      <w:pPr>
        <w:widowControl w:val="0"/>
        <w:numPr>
          <w:ilvl w:val="0"/>
          <w:numId w:val="19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общее описание функциональных обязанностей специалистов, имеющих отношение к проекту, сосредоточив внимание на основных результатах и опыте работы ответственных специалистов;</w:t>
      </w:r>
    </w:p>
    <w:p w:rsidR="00AA4F94" w:rsidRDefault="00AA4F94" w:rsidP="00AA4F94">
      <w:pPr>
        <w:widowControl w:val="0"/>
        <w:numPr>
          <w:ilvl w:val="0"/>
          <w:numId w:val="19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какие внешние консультанты будут привлечены к проекту и какие о них отзывы?</w:t>
      </w:r>
    </w:p>
    <w:p w:rsidR="00AA4F94" w:rsidRDefault="00AA4F94" w:rsidP="00AA4F94">
      <w:pPr>
        <w:widowControl w:val="0"/>
        <w:numPr>
          <w:ilvl w:val="0"/>
          <w:numId w:val="19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какие важные функциональные участки остались незаполненными, и какие шаги следует предпринять для того, чтобы это устранить? </w:t>
      </w:r>
    </w:p>
    <w:p w:rsidR="00AA4F94" w:rsidRDefault="00AA4F94" w:rsidP="00AA4F94">
      <w:pPr>
        <w:widowControl w:val="0"/>
        <w:numPr>
          <w:ilvl w:val="0"/>
          <w:numId w:val="20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распределение ответственности между различными подразделениями системы управления предприятием.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разделе "</w:t>
      </w:r>
      <w:r>
        <w:rPr>
          <w:rFonts w:ascii="Times New Roman CYR" w:hAnsi="Times New Roman CYR" w:cs="Times New Roman CYR"/>
          <w:b/>
          <w:bCs/>
          <w:i/>
          <w:iCs/>
        </w:rPr>
        <w:t>Финансы (финансовый план)</w:t>
      </w:r>
      <w:r>
        <w:rPr>
          <w:rFonts w:ascii="Times New Roman CYR" w:hAnsi="Times New Roman CYR" w:cs="Times New Roman CYR"/>
        </w:rPr>
        <w:t>" бизнес-плана необходимо отразить следующие основные моменты:</w:t>
      </w:r>
    </w:p>
    <w:p w:rsidR="00AA4F94" w:rsidRDefault="00AA4F94" w:rsidP="00AA4F94">
      <w:pPr>
        <w:widowControl w:val="0"/>
        <w:numPr>
          <w:ilvl w:val="0"/>
          <w:numId w:val="20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прибыльность</w:t>
      </w:r>
      <w:r>
        <w:rPr>
          <w:rFonts w:ascii="Times New Roman CYR" w:hAnsi="Times New Roman CYR" w:cs="Times New Roman CYR"/>
        </w:rPr>
        <w:t xml:space="preserve"> позволяет оценить, является ли предприятие достаточно привлекательным для участников бизнеса, чтобы рассмотреть возможность начала их участия с учетом существующих рисков;</w:t>
      </w:r>
    </w:p>
    <w:p w:rsidR="00AA4F94" w:rsidRDefault="00AA4F94" w:rsidP="00AA4F94">
      <w:pPr>
        <w:widowControl w:val="0"/>
        <w:numPr>
          <w:ilvl w:val="0"/>
          <w:numId w:val="20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поток наличности</w:t>
      </w:r>
      <w:r>
        <w:rPr>
          <w:rFonts w:ascii="Times New Roman CYR" w:hAnsi="Times New Roman CYR" w:cs="Times New Roman CYR"/>
        </w:rPr>
        <w:t xml:space="preserve"> позволяет оценить, являются ли инвестиции в данный бизнес безопасными и будут ли платежи, причитающиеся участникам, осуществляться в соответствии с графиком.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Очень важно понять, что не существует автоматической зависимости между прибыльностью бизнеса и его способностью генерировать наличные средства. Фактически, какой-то бизнес может быть высоко прибыльным, но привести к банкротству ввиду нехватки наличных средств. Другие предприятия могут показывать убытки в бухгалтерской документации, но генерировать наличные средства в счет долгосрочной перспективы развития бизнеса. 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Финансовый раздел бизнес-плана состоит из трех основных финансовых отчетов:</w:t>
      </w:r>
    </w:p>
    <w:p w:rsidR="00AA4F94" w:rsidRDefault="00AA4F94" w:rsidP="00AA4F94">
      <w:pPr>
        <w:widowControl w:val="0"/>
        <w:numPr>
          <w:ilvl w:val="0"/>
          <w:numId w:val="20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балансовый отчет;</w:t>
      </w:r>
    </w:p>
    <w:p w:rsidR="00AA4F94" w:rsidRDefault="00AA4F94" w:rsidP="00AA4F94">
      <w:pPr>
        <w:widowControl w:val="0"/>
        <w:numPr>
          <w:ilvl w:val="0"/>
          <w:numId w:val="20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отчет о прибылях и убытках;</w:t>
      </w:r>
    </w:p>
    <w:p w:rsidR="00AA4F94" w:rsidRDefault="00AA4F94" w:rsidP="00AA4F94">
      <w:pPr>
        <w:widowControl w:val="0"/>
        <w:numPr>
          <w:ilvl w:val="0"/>
          <w:numId w:val="20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отчет о потоке наличности (дает информацию о способности бизнеса генерировать наличные средства и выполнять свои финансовые обязательства).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Балансовый отчет и счет прибылей и убытков составляются на годовой период, а прогноз потока наличности разрабатывается ежемесячно.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В случае, когда компания уже существует, бизнес-план готовится для того, чтобы оценить жизнеспособность нового направления в структуре имеющейся деятельности компании. При этом потребуется два вида финансовой отчетности – показывающей жизнеспособность нового проекта и о бизнесе в целом.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>Фактически, второй финансовый отчет требуется для того, чтобы продемонстрировать, что доход от проекта не будет использоваться только для покрытия убытков по другим видам деятельности компании.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 составления финансовой отчетности необходимо сделать некоторые допущения. Следует сделать предположения относительно: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 xml:space="preserve">расчета себестоимости единицы продукции или услуг. 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Этот расчет заключается в установлении цены на единицу продукции/услуг и выявлении переменных затрат (главным образом материалов, использованных в процессе производства) на единицу продукции/услуг.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Цена должна отвечать положениям раздела маркетинга бизнес-плана, также как и переменные затраты должны соответствовать разделу плана о производстве и эксплуатации.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предположения о продажах;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Эти предположения должны соответствовать заключениям, сделанным в разделе маркетинга. 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предположения о накладных расходах;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Слишком часто не придается значения накладным расходам. Некоторые накладные расходы являются достаточно очевидными (например, арендная плата, страховка). Другие могут быть более трудными (например, коммунальные платежи, оплата телефона, рекламы).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предположения о потоке наличности;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Для прогнозирования потока наличности используется информация, </w:t>
      </w:r>
      <w:r>
        <w:rPr>
          <w:rFonts w:ascii="Times New Roman CYR" w:hAnsi="Times New Roman CYR" w:cs="Times New Roman CYR"/>
        </w:rPr>
        <w:lastRenderedPageBreak/>
        <w:t>содержащаяся в отчете о прибылях и убытках. Но также следует принимать во внимание время поступления наличных средств и платежей. Результаты прогноза потока наличности будут различными, в зависимости от условий оплаты, согласованных с поставщиками.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предположения о запасе финансовой прочности;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Необходимо предусмотреть запас финансовой прочности. Он может состоять из увеличения до 10% расчетной стоимости единицы продукции на первые годы, или предоставления обеспечения для 10% увеличения непредвиденных расходов по обслуживанию оборудования.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Раздел "</w:t>
      </w:r>
      <w:r>
        <w:rPr>
          <w:rFonts w:ascii="Times New Roman CYR" w:hAnsi="Times New Roman CYR" w:cs="Times New Roman CYR"/>
          <w:b/>
          <w:bCs/>
          <w:i/>
          <w:iCs/>
        </w:rPr>
        <w:t>Факторы риска</w:t>
      </w:r>
      <w:r>
        <w:rPr>
          <w:rFonts w:ascii="Times New Roman CYR" w:hAnsi="Times New Roman CYR" w:cs="Times New Roman CYR"/>
        </w:rPr>
        <w:t xml:space="preserve">". Управление воздействием рисков начинается с объективного выявления основных рисков, с которыми сталкивается бизнес. Существует два основных типа рисков: </w:t>
      </w:r>
      <w:r>
        <w:rPr>
          <w:rFonts w:ascii="Times New Roman CYR" w:hAnsi="Times New Roman CYR" w:cs="Times New Roman CYR"/>
          <w:i/>
          <w:iCs/>
        </w:rPr>
        <w:t xml:space="preserve"> </w:t>
      </w:r>
      <w:r>
        <w:rPr>
          <w:rFonts w:ascii="Times New Roman CYR" w:hAnsi="Times New Roman CYR" w:cs="Times New Roman CYR"/>
        </w:rPr>
        <w:t>технические риски и финансовые риски (анализ чувствительности и безубыточности).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Невозможно перечислить все </w:t>
      </w:r>
      <w:r>
        <w:rPr>
          <w:rFonts w:ascii="Times New Roman CYR" w:hAnsi="Times New Roman CYR" w:cs="Times New Roman CYR"/>
          <w:i/>
          <w:iCs/>
        </w:rPr>
        <w:t>технические риски</w:t>
      </w:r>
      <w:r>
        <w:rPr>
          <w:rFonts w:ascii="Times New Roman CYR" w:hAnsi="Times New Roman CYR" w:cs="Times New Roman CYR"/>
        </w:rPr>
        <w:t>, поскольку они часто связаны с типом продукции. Следующий перечень дан в качестве примера: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задержка в подготовке стройплощадки и выполнении графика строительства;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отсутствие сырья;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низкое качество продукции;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несоблюдение государственных нормативов;</w:t>
      </w:r>
    </w:p>
    <w:p w:rsidR="00AA4F94" w:rsidRDefault="00AA4F94" w:rsidP="00AA4F94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новые внешние условия, влияющие на технологию производства.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Размер прибылей и убытков в значительной степени зависит от уровня продаж, который обычно является величиной, трудно прогнозируемой с определенной точностью. Для того, чтобы знать, какой потребуется уровень продаж для достижения прибыльности предприятия, необходимо провести </w:t>
      </w:r>
      <w:r>
        <w:rPr>
          <w:rFonts w:ascii="Times New Roman CYR" w:hAnsi="Times New Roman CYR" w:cs="Times New Roman CYR"/>
          <w:i/>
          <w:iCs/>
        </w:rPr>
        <w:t>анализ безубыточности</w:t>
      </w:r>
      <w:r>
        <w:rPr>
          <w:rFonts w:ascii="Times New Roman CYR" w:hAnsi="Times New Roman CYR" w:cs="Times New Roman CYR"/>
        </w:rPr>
        <w:t>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Анализ чувствительности</w:t>
      </w:r>
      <w:r>
        <w:rPr>
          <w:rFonts w:ascii="Times New Roman CYR" w:hAnsi="Times New Roman CYR" w:cs="Times New Roman CYR"/>
        </w:rPr>
        <w:t xml:space="preserve"> заключается в определении значений ключевых параметров, которые могут подвергнуть сомнению успех бизнеса.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Очень важно установить, какие изменения данных параметров могли бы повысить ожидаемую прибыльность, например, 25%-ое увеличение цены на сырье или потребление электроэнергии, или 20%-ое уменьшение цены продажи или объема выпуска продукции. Если бизнес является слишком чувствительным к некоторым изменениям параметров, руководство компании должно регулярно их контролировать.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Давая характеристику содержания бизнес-плана необходимо подчеркнуть еще раз: универсальных рекомендаций нет и быть не может. С уверенностью можно сказать лишь одно: для любого бизнес-плана совершенно необходимо отражение плана маркетинга, плана производства, финансового плана, организационного плана. Причем если три первые части должны быть именно в таком порядке, дабы последовательно получить выручку, себестоимость, рентабельность, то план организационный должен пронизывать все перечисленные разделы.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Приведенная здесь характеристика содержания отражает требования конкретных организаций (UNIDO, Tacis), однако в силу их распространенности и даже некоторой популярности было отдано предпочтение именно этим требованиям. С другой стороны, как было показано выше, любой бизнес-план, в отличие от других видов планирования на предприятии, обеспечивает взаимосвязь внутренних целей предприятия и целей лиц из внешней среды, в участии которых заинтересован предприниматель. Вполне допустимо, что банк, например, предъявит иные требования, сконцентрировавшись не на плане производства, а отдавая предпочтение финансовому плану. Аналогичным образом поступит разработчик внутреннего бизнес-плана предприятия, которое осваивает на имеющихся мощностях новый вид продукции – для него, в данном случае, более важным является вопрос не как произвести, а стоит ли это делать (план маркетинга).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Нет необходимости, наверное, доказывать, что ключевым разделом в любой ситуации является финансовый план. Аккумулируя информацию других разделов, финансовый план дает ответ  на самый важный вопрос – что нужно вложить и какова отдача, поскольку предпринимательская деятельность есть не что иное, как деятельность на свой страх и риск с целью извлечения выгоды.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Полнота охвата финансовым планом результатов осуществления инвестиционного проекта также может меняться в зависимости от степени сложности самого проекта и требований инвестора. Перечень вопросов, приведенных выше, на которые должен ответить бизнес-план, стандартен для небольших проектов или проектов “с нуля”. Для предприятий, осуществляющих проект в рамках текущей деятельности, и особенно для тех, кто не делает зависимости между успешностью проекта и его прибыльностью, было бы разумным, начав бизнес-план с краткого анализа текущей деятельности предприятия (как это описано выше), закончить его (в финансовом плане) анализом изменений, которые произойдут в деятельности предприятия в целом, после реализации проекта. 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Таким образом, определив, что инвестиции – это главная форма реализации стратегии предприятия, дав характеристику инвесторам и охарактеризовав формы инвестиций, можно с полной уверенностью сказать, что бизнес-планирование является основным этапом подготовки любого инвестиционного проекта в форме реальных инвестиций и определяет собой  так называемую прединвестиционную стадию.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</w:rPr>
        <w:br w:type="page"/>
      </w: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Глава  2. Бизнес-план ОАО ПК "Витязь"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2.1 Резюме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Программа развития ОАО ПК “Витязь” предусматривает в течение ближайших трех лет реконструкцию солодовенного производства; реконструкцию технологического цеха, углекислотной станции, холодильно-компрессорного цеха; реконструкцию цеха розлива с установкой одной новой линии розлива пива в стеклянную бутылку и одной новой линии розлива пива в ПЭТ бутылку; строительство газовой котельной.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Первый этап программы, являющийся предметом настоящего бизнес плана и который ОАО ПК “Витязь” намерено осуществить в течение 2002 г., преследует цель улучшения качественных характеристик пива и закрепления в новых для ОАО ПК “Витязь” сегментах рынка пива высокого качества. Этот этап не ставит целью увеличение натуральных показателей производства и продаж пива.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Сумма капитальных вложений по первому этапу –  182 млн. руб. (6,6 млн. ЕВРО). Вложений в оборотный капитал – 209 млн. руб. Всего инвестиций – 391 млн. руб.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проведении расчетов инфляция взята в размере 12% в год, рост курса ЕВРО и доллара США – 8% в год. Горизонт расчетов – с 01.01.2002 г. по 01.01.2008 г. Горизонт расчетов взят исходя из срока лизинга оборудования и планируемого срока долгосрочного кредита.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Если ЧДД инвестиционного проекта положителен, проект является эффективным (при данной норме дисконта) и может рассматриваться вопрос о его принятии /1,4/. В частности, простой срок окупаемости (с учетом кредитования) составляет – 1,9 лет, дисконтированный срок окупаемости – 2,2 года, чистый дисконтированный доход – 792 млн. руб. (исходя из ставки </w:t>
      </w:r>
      <w:r>
        <w:rPr>
          <w:rFonts w:ascii="Times New Roman CYR" w:hAnsi="Times New Roman CYR" w:cs="Times New Roman CYR"/>
        </w:rPr>
        <w:lastRenderedPageBreak/>
        <w:t>дисконтирования 25% годовых).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Настоящий бизнес-план составлен с учетом рекомендаций компании Goldex GmbH (Германия) и требований Методических рекомендаций по оценке эффективности инвестиционных проектов (утверждены Министерством экономики РФ, Министерством финансов РФ, Государственным комитетом РФ по строительной, архитектурной и жилищной политике 21.06.1999 N ВК 477) /2,1/. Расчеты по проекту проведены с использованием программы “Альт-Инвест” ИКФ “Альт” (Россия).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2.2 Краткая информация о предприятии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2.2.1 История предприятия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i/>
          <w:i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История ОАО ПК "Витязь" начинается в 1861 года, когда был открыт первый пивоваренный завод в г. Симбирске (сегодня г. Ульяновск). После революции, в октябре 1918 года, завод был национализирован. В 1985 году завод был построен заново на новом месте, а устаревшее оборудование снесено. Дата основания предприятия - Ульяновский пиво-безалкогольный Комбинат “Ульяновский” - 1.08.1986 г.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ноябре 1992 года завод поменял форму собственности и стал Акционерным Обществом Открытого Типа Ульяновский Пивобезалкогольный Комбинат “Витязь”. А в июле 1997 г. предприятие было переименовано в Открытое Акционерное Общество Пивоваренная Компания "Витязь".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Акционерами Компании являются как </w:t>
      </w:r>
      <w:r>
        <w:rPr>
          <w:rFonts w:ascii="Times New Roman CYR" w:hAnsi="Times New Roman CYR" w:cs="Times New Roman CYR"/>
          <w:i/>
          <w:iCs/>
        </w:rPr>
        <w:t>юридические лица</w:t>
      </w:r>
      <w:r>
        <w:rPr>
          <w:rFonts w:ascii="Times New Roman CYR" w:hAnsi="Times New Roman CYR" w:cs="Times New Roman CYR"/>
        </w:rPr>
        <w:t xml:space="preserve">: ООО Торговый дом “Витязь-Т”, АКХ “Волга”, СПХ “Верхнетимерсянское”, АО “Сызранское” (г. Ульяновск и Ульяновская область),  так и </w:t>
      </w:r>
      <w:r>
        <w:rPr>
          <w:rFonts w:ascii="Times New Roman CYR" w:hAnsi="Times New Roman CYR" w:cs="Times New Roman CYR"/>
          <w:i/>
          <w:iCs/>
        </w:rPr>
        <w:t>физические лица (399 человек).</w:t>
      </w:r>
      <w:r>
        <w:rPr>
          <w:rFonts w:ascii="Times New Roman CYR" w:hAnsi="Times New Roman CYR" w:cs="Times New Roman CYR"/>
          <w:u w:val="single"/>
        </w:rPr>
        <w:t xml:space="preserve">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течение последних 4-х лет на ОАО ПК “Витязь” были приобретены и введены в эксплуатацию линии розлива пива в кеги и ПЭТ-бутылку, линия </w:t>
      </w:r>
      <w:r>
        <w:rPr>
          <w:rFonts w:ascii="Times New Roman CYR" w:hAnsi="Times New Roman CYR" w:cs="Times New Roman CYR"/>
        </w:rPr>
        <w:lastRenderedPageBreak/>
        <w:t>фильтрации пива, охладитель пива, упаковочная и этикетировочная машины, пастеризатор. Была проведена реконструкция аммиачно-холодильной и насосной станции, фарфасного отделения цеха розлива.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Объемы производства и продаж пива выросли с  3,3 млн. декалитров в 1995 году до 6,5 млн. декалитров в 2001г.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Чистая выручка от реализации пива без НДС и акцизов в 2001 г. составила 474 млн. руб., с НДС и акцизами – 635 млн. руб. Чистая прибыль по итогу за 2001 г. составила 36 млн. руб.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2.2.2 Организация предприятия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Пивоваренная компания “Витязь” включает в себя основные и вспомогательные подразделения. К основным производствам относятся цеха по производству солода, пива и концентрата.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Солодовенно-элеваторное производство</w:t>
      </w:r>
      <w:r>
        <w:rPr>
          <w:rFonts w:ascii="Times New Roman CYR" w:hAnsi="Times New Roman CYR" w:cs="Times New Roman CYR"/>
        </w:rPr>
        <w:t xml:space="preserve"> включает в себя зернохранилище – элеватор, где производится подработка и непосредственное хранение зерна и готового солода, и солодовню, где производят замачивание, соложение (проращивание), сушку зерна. Солодовня производит солод – основное сырье для производства пива. Производственная мощность солодовни  - 20000 тонн солода в год - полностью обеспечивает потребности производства пива и позволяет производить солод для реализации на сторону.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Варочно-бродильное производство</w:t>
      </w:r>
      <w:r>
        <w:rPr>
          <w:rFonts w:ascii="Times New Roman CYR" w:hAnsi="Times New Roman CYR" w:cs="Times New Roman CYR"/>
        </w:rPr>
        <w:t xml:space="preserve"> включает в себя варочный цех, бродильный цех и лагерный цех. В варочном непосредственно варят пивное сусло. Далее горячее сусло передают в бродильный цех, где сусло охлаждается и бродит. Получается “зеленое” пиво. “Зеленое” пиво передают в лагерный цех для дображивания, выдержки и фильтрации пива. Затем готовое пиво передают на розлив.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В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цехе розлива бутылочной продукции</w:t>
      </w:r>
      <w:r>
        <w:rPr>
          <w:rFonts w:ascii="Times New Roman CYR" w:hAnsi="Times New Roman CYR" w:cs="Times New Roman CYR"/>
        </w:rPr>
        <w:t xml:space="preserve"> пиво и минеральная вода </w:t>
      </w:r>
      <w:r>
        <w:rPr>
          <w:rFonts w:ascii="Times New Roman CYR" w:hAnsi="Times New Roman CYR" w:cs="Times New Roman CYR"/>
        </w:rPr>
        <w:lastRenderedPageBreak/>
        <w:t xml:space="preserve">разливаются в стеклянные бутылки емкостью 0,5 л и в полиэтиленовые бутылки емкостью 1,5 л. Работают 3 линии разлива в стеклянные бутылки мощностью 33000 дал в сутки и одна линия разлива в ПЭТ-бутылки мощностью 3500 дал в сутки.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В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цехе розлива пива в кеги</w:t>
      </w:r>
      <w:r>
        <w:rPr>
          <w:rFonts w:ascii="Times New Roman CYR" w:hAnsi="Times New Roman CYR" w:cs="Times New Roman CYR"/>
        </w:rPr>
        <w:t xml:space="preserve"> пиво разливают в кеги емкостью 50 л с помощью автоматической линии. Также на этой линии возможен розлив пива в бочонки емкостью 5 л.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В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цехе розлива пива в бочки</w:t>
      </w:r>
      <w:r>
        <w:rPr>
          <w:rFonts w:ascii="Times New Roman CYR" w:hAnsi="Times New Roman CYR" w:cs="Times New Roman CYR"/>
        </w:rPr>
        <w:t xml:space="preserve"> пиво разливают в алюминиевые бочки емкостью 100 л.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Также на предприятии имеется участок по производству </w:t>
      </w:r>
      <w:r>
        <w:rPr>
          <w:rFonts w:ascii="Times New Roman CYR" w:hAnsi="Times New Roman CYR" w:cs="Times New Roman CYR"/>
          <w:i/>
          <w:iCs/>
        </w:rPr>
        <w:t>ячменно-солодового концентрата</w:t>
      </w:r>
      <w:r>
        <w:rPr>
          <w:rFonts w:ascii="Times New Roman CYR" w:hAnsi="Times New Roman CYR" w:cs="Times New Roman CYR"/>
        </w:rPr>
        <w:t>, используемого для изготовления кондитерских изделий. Сусло для концентрата варят в варочном цехе, затем передают на выпарную установку “Виганд”, где сусло выпаривают до нужной плотности.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Вся готовая продукция отпускается через </w:t>
      </w:r>
      <w:r>
        <w:rPr>
          <w:rFonts w:ascii="Times New Roman CYR" w:hAnsi="Times New Roman CYR" w:cs="Times New Roman CYR"/>
          <w:i/>
          <w:iCs/>
        </w:rPr>
        <w:t>цех тары и готовой продукции</w:t>
      </w:r>
      <w:r>
        <w:rPr>
          <w:rFonts w:ascii="Times New Roman CYR" w:hAnsi="Times New Roman CYR" w:cs="Times New Roman CYR"/>
        </w:rPr>
        <w:t xml:space="preserve"> потребителям. Бутылочная продукция отпускается в полиэтиленовых ящиках или термоусадочной упаковке.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У компании имеется </w:t>
      </w:r>
      <w:r>
        <w:rPr>
          <w:rFonts w:ascii="Times New Roman CYR" w:hAnsi="Times New Roman CYR" w:cs="Times New Roman CYR"/>
          <w:i/>
          <w:iCs/>
        </w:rPr>
        <w:t>цех по производству полиэтиленовых ящиков</w:t>
      </w:r>
      <w:r>
        <w:rPr>
          <w:rFonts w:ascii="Times New Roman CYR" w:hAnsi="Times New Roman CYR" w:cs="Times New Roman CYR"/>
        </w:rPr>
        <w:t xml:space="preserve"> с логотипом фирмы, а также возможен ремонт ломаных ящиков, поступающих от покупателей.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Пивоваренная компания “Витязь” имеет </w:t>
      </w:r>
      <w:r>
        <w:rPr>
          <w:rFonts w:ascii="Times New Roman CYR" w:hAnsi="Times New Roman CYR" w:cs="Times New Roman CYR"/>
          <w:i/>
          <w:iCs/>
        </w:rPr>
        <w:t>собственную производственную лабораторию</w:t>
      </w:r>
      <w:r>
        <w:rPr>
          <w:rFonts w:ascii="Times New Roman CYR" w:hAnsi="Times New Roman CYR" w:cs="Times New Roman CYR"/>
        </w:rPr>
        <w:t>, аккредитованную государственным Комитетом Российской Федерации по стандартизации и метрологии, что позволяет производить анализы для сторонних организаций.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Вспомогательные производства</w:t>
      </w:r>
      <w:r>
        <w:rPr>
          <w:rFonts w:ascii="Times New Roman CYR" w:hAnsi="Times New Roman CYR" w:cs="Times New Roman CYR"/>
        </w:rPr>
        <w:t xml:space="preserve"> ОАО ПК "Витязь" предназначены для обеспечения основного производства различными видами энергии (электроэнергия, пар, холод и др.), водой; а также для выполнения  работ по ремонту основных средств, транспортных и других видов услуг.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Для обеспечения работы механизмов и агрегатов в основных цехах </w:t>
      </w:r>
      <w:r>
        <w:rPr>
          <w:rFonts w:ascii="Times New Roman CYR" w:hAnsi="Times New Roman CYR" w:cs="Times New Roman CYR"/>
        </w:rPr>
        <w:lastRenderedPageBreak/>
        <w:t>имеется служба главного механика, включающая в себя инженеров-специалистов, ремонтно-механический цех, монтажную бригаду.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Для производства пива необходимы холод и сжатый воздух, которые вырабатывают в компрессорном цехе службы главного энергетика. К службе главного энергетика также относятся электроцех,  паросиловой цех, КИПиА и связь, служба промэлектроники.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подвоза сырья и материалов, а также для перевозки готовой продукции потребителям организован автотранспортный цех, имеющий в своем автопарке машины различных моделей, включая автопогрузчики, автофургоны, автоцистерны и др.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ремонта производственных помещений и административных корпусов создано ремонтно-строительное управление.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Развитие ключевых показателей показана в таблице 1.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период с 1998 г. по 2001 г. выручка от реализации продукции увеличилась с 163 163  до 473 692 тыс. руб., или с 10 592 до 17 781 тыс. ЕВРО. Чистая прибыль за тот же период увеличилась  с 21 805 до 35 556 тыс. руб., но в переводе в ЕВРО сократилась с 1 415 до 1 335 тыс. ЕВРО, что связано, во-первых, со значительным ростом курса ЕВРО после кризиса в августе 1998 г., а во-вторых, с опережающим ростом себестоимости продукции над ростом выручки от реализации. Объёмы производства пива возросли за этот период с 6 183 до 6 440 тыс. дал.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Показатели ОАО ПК "Витязь"</w:t>
      </w:r>
    </w:p>
    <w:tbl>
      <w:tblPr>
        <w:tblW w:w="0" w:type="auto"/>
        <w:jc w:val="center"/>
        <w:tblLayout w:type="fixed"/>
        <w:tblLook w:val="0000"/>
      </w:tblPr>
      <w:tblGrid>
        <w:gridCol w:w="2887"/>
        <w:gridCol w:w="1418"/>
        <w:gridCol w:w="1134"/>
        <w:gridCol w:w="1134"/>
        <w:gridCol w:w="1134"/>
        <w:gridCol w:w="1229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Показатель /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Ед. изм.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Выручкаотреализации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163 163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305 479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400 570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473 692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ЕВРО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10 592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11 912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15 019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17 781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Себестоимость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123 335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247 025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305 601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398 000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ЕВРО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8 006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9 632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11 459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14 940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Прибыль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доналогообложения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33 250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45 715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65 002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53 939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ЕВРО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2 158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1 783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2 437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2 025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Чистаяприбыль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21 805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30 462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47 376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35 556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ЕВРО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1 415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1 188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1 776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1 335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Производство пива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дал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6 183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7 651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7 508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6 440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солода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10 563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11 523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14 155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15 029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концентрата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370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left="851" w:hanging="851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минеральной воды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дал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left="851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кваса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дал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43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93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Продолжение таблицы 1. 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Показатель /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Ед. изм.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Среднесписочная численность работающих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1 342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1413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1 224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i/>
          <w:iCs/>
          <w:sz w:val="20"/>
          <w:szCs w:val="20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Некоторое увеличение выручки от реализации в 2001 г. по сравнению с 2000 г. на фоне снижения объёмов производства пива связано с увеличением цен на продукцию. Снижение прибыли за этот же период произошло в результате изменения порядка отражения в бухгалтерской отчетности расходов из фонда потребления (в 2000 г. их величина включалась в нераспределенную прибыль отчетного года). Если бы в 2001 г. сохранился  прежний порядок отражения расходов из фонда потребления, прибыль составила бы 49 129 тыс. руб., или 1 844 тыс. ЕВРО.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Сильными сторонами</w:t>
      </w:r>
      <w:r>
        <w:rPr>
          <w:rFonts w:ascii="Times New Roman CYR" w:hAnsi="Times New Roman CYR" w:cs="Times New Roman CYR"/>
        </w:rPr>
        <w:t xml:space="preserve"> хозяйственной деятельности ОАО ПК "Витязь" являются: давнее присутствие на рынке, приверженность потребителей марке “Витязь”, доступность продукции по цене, представленность на многих региональных рынках, выгодное географическое положение.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lastRenderedPageBreak/>
        <w:t>Слабые стороны</w:t>
      </w:r>
      <w:r>
        <w:rPr>
          <w:rFonts w:ascii="Times New Roman CYR" w:hAnsi="Times New Roman CYR" w:cs="Times New Roman CYR"/>
        </w:rPr>
        <w:t xml:space="preserve"> в работе ОАО ПК "Витязь" - это морально устаревшее оборудование, нестабильность качества продукции и недостаточный срок хранения продукции. Для решения этих проблем и было принято решение о реконструкции и модернизации производства ОАО ПК "Витязь".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2.2.3 Информация о персонале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jc w:val="left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Руководитель фирмы – Генеральный директор – Литвинов Анатолий Алексеевич. Он имеет высшее техническое и экономическое образование и является также: 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членом наблюдательного  Совета ОАО ПК "Витязь";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председателем Совета директоров банка "СТАБЭК";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членом политсовета партии "Единство";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председателем Совета Ульяновского отделения Российского Союза промышленников и предпринимателей;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депутатом Законодательного собрания Ульяновской области.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Председателем Совета директоров ОАО ПК “Витязь” и Директором по производству является Фарисей Анатолий Николаевич.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 1 сентября 2001 г. общая численность работающих составляет 1243 человек. Из них - управляющий персонал –  208 человек; переменный производственный персонал – 512 человек (70 – в солодовенно-элеваторном производстве, 77 – в варочно-бродильном, 204 – в цехе розлива бутылочной продукции и  производства безалкогольных напитков, 26 – в цехе производства концентрата, розлива пива в бочки и кеги, 135 – в цехе тары и готовой продукции); постоянный производственный персонал- 523 человека (11 – в производственной лаборатории, 123 – в службе главного энергетика, 62 – в службе главного механика, 210 – в автотранспортном цехе, 50 – в строительном управлении, 23 – в административно-хозяйственном отделе, 34 – в охране, 10 – </w:t>
      </w:r>
      <w:r>
        <w:rPr>
          <w:rFonts w:ascii="Times New Roman CYR" w:hAnsi="Times New Roman CYR" w:cs="Times New Roman CYR"/>
        </w:rPr>
        <w:lastRenderedPageBreak/>
        <w:t>в Директорате по закупкам).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Структура управляющего персонала (Таблица 2). Структура непосредственно работающих на производстве (Таблица 3).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Компания имеет штат квалифицированных специалистов. Из общего количества руководящего состава 48% имеют высшее образование.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Кадровая политика Компании направлена на повышение профессионального уровня работающих. В 2001 г. прошли обучение на курсах и семинарах 35 человек.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Общая текучесть кадров по итогу за 2001 г. составила 8%. Руководящий персонал составляет 17% от общей численности работающих.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предприятии применяется следующая система поощрений: вознаграждение по итогам работы за год; поощрение за выполнение особо важного задания; поощрение по положению за рационализаторство и изобретательство.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426"/>
        <w:jc w:val="right"/>
        <w:rPr>
          <w:rFonts w:ascii="Times New Roman CYR" w:hAnsi="Times New Roman CYR" w:cs="Times New Roman CYR"/>
        </w:rPr>
      </w:pPr>
      <w:r>
        <w:rPr>
          <w:rFonts w:ascii="Arial CYR" w:hAnsi="Arial CYR" w:cs="Arial CYR"/>
          <w:i/>
          <w:iCs/>
          <w:sz w:val="20"/>
          <w:szCs w:val="20"/>
        </w:rPr>
        <w:br w:type="page"/>
      </w:r>
      <w:r>
        <w:rPr>
          <w:rFonts w:ascii="Times New Roman CYR" w:hAnsi="Times New Roman CYR" w:cs="Times New Roman CYR"/>
        </w:rPr>
        <w:lastRenderedPageBreak/>
        <w:t>Таблица 2.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6286500" cy="7213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721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94" w:rsidRDefault="00AA4F94" w:rsidP="00AA4F94">
      <w:pPr>
        <w:keepNext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Структура управляющего персонала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426"/>
        <w:rPr>
          <w:rFonts w:ascii="Times New Roman CYR" w:hAnsi="Times New Roman CYR" w:cs="Times New Roman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426"/>
        <w:rPr>
          <w:rFonts w:ascii="Times New Roman CYR" w:hAnsi="Times New Roman CYR" w:cs="Times New Roman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426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br w:type="page"/>
      </w:r>
      <w:r>
        <w:rPr>
          <w:rFonts w:ascii="Times New Roman CYR" w:hAnsi="Times New Roman CYR" w:cs="Times New Roman CYR"/>
        </w:rPr>
        <w:lastRenderedPageBreak/>
        <w:t>Таблица 3.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6019800" cy="7670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767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Структура непосредственно работающих на производстве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425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left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2.2.4 Характеристика продукции и программа поставок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 ОАО ПК “Витязь” освоен выпуск пива в стеклянной (0,5 литра) и ПЭТ (1,5 литра) бутылках, в кегах (50 литров), бочках (100 литров), бочонках (5 литров); а также минеральной воды “Симбирская” в стеклянных и ПЭТ бутылках; солода; ячменно-солодового концентрата.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Производится 9 сортов пива: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- светлые:</w:t>
      </w:r>
      <w:r>
        <w:rPr>
          <w:rFonts w:ascii="Times New Roman CYR" w:hAnsi="Times New Roman CYR" w:cs="Times New Roman CYR"/>
        </w:rPr>
        <w:t xml:space="preserve"> “Ульяновское” (плотность 11%), “Легкое” (11%), “Град Симбирск Юбилейное” (14%), “VIP” (15%), “Литвиновское” (15%), “Кураж” (17%), “Жигулёвское” (11%);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- полутёмное:</w:t>
      </w:r>
      <w:r>
        <w:rPr>
          <w:rFonts w:ascii="Times New Roman CYR" w:hAnsi="Times New Roman CYR" w:cs="Times New Roman CYR"/>
        </w:rPr>
        <w:t xml:space="preserve">  “Витязь-Янтарное” (15%);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- тёмное:</w:t>
      </w:r>
      <w:r>
        <w:rPr>
          <w:rFonts w:ascii="Times New Roman CYR" w:hAnsi="Times New Roman CYR" w:cs="Times New Roman CYR"/>
        </w:rPr>
        <w:t xml:space="preserve"> “Витязь” (14%).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Преимущества товара:</w:t>
      </w:r>
    </w:p>
    <w:p w:rsidR="00AA4F94" w:rsidRDefault="00AA4F94" w:rsidP="00AA4F9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 xml:space="preserve">давнее присутствие на рынке; </w:t>
      </w:r>
    </w:p>
    <w:p w:rsidR="00AA4F94" w:rsidRDefault="00AA4F94" w:rsidP="00AA4F9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приверженность потребителей марке “Витязь”;</w:t>
      </w:r>
    </w:p>
    <w:p w:rsidR="00AA4F94" w:rsidRDefault="00AA4F94" w:rsidP="00AA4F9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доступность по цене;</w:t>
      </w:r>
    </w:p>
    <w:p w:rsidR="00AA4F94" w:rsidRDefault="00AA4F94" w:rsidP="00AA4F9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представленность на многих региональных рынках.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Недостатки товара: </w:t>
      </w:r>
    </w:p>
    <w:p w:rsidR="00AA4F94" w:rsidRDefault="00AA4F94" w:rsidP="00AA4F9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нестабильность качества;</w:t>
      </w:r>
    </w:p>
    <w:p w:rsidR="00AA4F94" w:rsidRDefault="00AA4F94" w:rsidP="00AA4F9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недостаточный срок хранения.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Вся продукция сертифицирована и соответствует требованиям ГОСТ. </w:t>
      </w:r>
    </w:p>
    <w:p w:rsidR="00AA4F94" w:rsidRDefault="00AA4F94" w:rsidP="00AA4F94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результате реконструкции производства ОАО ПК "Витязь" планируется выпуск новой дорогой марки пива. Цель вывода на рынок новой марки – переход ценовую нишу “среднего пива” (Балтика, Толстяк, Бочкарев, Золотая Бочка, Невское и т.д., розничные цены на данный момент - от 12 до 16 руб. за 1 бутылку). Этот переход предполагает не только установление высокой </w:t>
      </w:r>
      <w:r>
        <w:rPr>
          <w:rFonts w:ascii="Times New Roman CYR" w:hAnsi="Times New Roman CYR" w:cs="Times New Roman CYR"/>
        </w:rPr>
        <w:lastRenderedPageBreak/>
        <w:t>цены на эту марку, “красивое” оформление и рекламную поддержку, но и новый подход к качеству выпускаемого продукта. В настоящее время в данной ценовой нише представлен только один сорт ОАО ПК “Витязь” – сорт “Кураж”.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осуществлении первого этапа инвестиционного проекта (капитальные вложения - 6,6 млн. ЕВРО, 2002 гг.) выпуск пива в ближайшие годы будет следующий (Таблица 4):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2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4.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2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Выпуск пива при капитальных вложениях – 6,6 млн. ЕВРО</w:t>
      </w:r>
    </w:p>
    <w:tbl>
      <w:tblPr>
        <w:tblW w:w="0" w:type="auto"/>
        <w:jc w:val="center"/>
        <w:tblLayout w:type="fixed"/>
        <w:tblLook w:val="0000"/>
      </w:tblPr>
      <w:tblGrid>
        <w:gridCol w:w="3986"/>
        <w:gridCol w:w="968"/>
        <w:gridCol w:w="969"/>
        <w:gridCol w:w="969"/>
        <w:gridCol w:w="969"/>
        <w:gridCol w:w="969"/>
        <w:gridCol w:w="969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349"/>
          <w:jc w:val="center"/>
        </w:trPr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Показатель \ Год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2002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2003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2004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2006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Продажи ПК “Витязь”,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пива всего, тыс. дал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6 500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Доля марки пива “Витязь”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2"/>
          <w:jc w:val="center"/>
        </w:trPr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Доля новой марки пива (сегмент среднеценового пива)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70%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2"/>
          <w:jc w:val="center"/>
        </w:trPr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Продажи новой марки пива, тыс. дал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975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3 250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4 550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4 550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4 550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4 550</w:t>
            </w:r>
          </w:p>
        </w:tc>
      </w:tr>
    </w:tbl>
    <w:p w:rsidR="00AA4F94" w:rsidRDefault="00AA4F94" w:rsidP="00AA4F94">
      <w:pPr>
        <w:autoSpaceDE w:val="0"/>
        <w:autoSpaceDN w:val="0"/>
        <w:adjustRightInd w:val="0"/>
        <w:spacing w:line="360" w:lineRule="auto"/>
        <w:ind w:firstLine="284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 осуществлении всего плана инвестиций (33 млн. ЕВРО, 2002-2004гг.), выпуск пива будет следующим (Таблица 5):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5.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2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Выпуск пива при капитальных вложениях – 6,6 млн. ЕВРО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039"/>
        <w:gridCol w:w="1040"/>
        <w:gridCol w:w="1039"/>
        <w:gridCol w:w="1040"/>
        <w:gridCol w:w="1039"/>
        <w:gridCol w:w="898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Показатель \ Год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2002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2004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2006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Продажи ПК “Витязь”,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пива всего, тыс. дал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6 500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13 150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15 000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15 000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15 000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15 000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Доля марки пива “Витязь”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15%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Доля новой марки пива (сегмент среднеценового пива)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85%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Продажи новой марки пива,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тыс. дал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975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6 575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10 500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12 750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12 750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12 750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2.3 Коммерческая идея, стратегия и цели предприятия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2.3.1 Коммерческая идея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  <w:i/>
          <w:i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ОАО ПК “Витязь” осуществляет коммерческую деятельность по производству и реализации пива и солода в соответствие с Уставом компании и законодательством Российской Федерации.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Миссией ОАО ПК “Витязь” является выпуск высококачественного пива по цене, доступной широким слоям населения России.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ОАО ПК “Витязь” строит свою деятельность исходя из требований сохранения конкурентных преимуществ компании; приоритетности долгосрочного развития компании; получения прибыли, достаточной для осуществления долгосрочного развития компании и выплаты высоких дивидендов ее акционерам.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настоящее время основную часть продукции ОАО ПК “Витязь” продает в сегменте дешевого пива в регионах Средней Волги, Нижней Волги и Северного Кавказа. Целевым рынком ОАО ПК “Витязь” рассматривает активно растущий сегмент более дорогого качественного пива и планирует наладить систему продаж по всей Европейской части России и на Урале.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Приоритетной задачей в кадровой политике компания считает сохранение костяка из высококлассных специалистов и руководителей, повышение квалификации специалистов и рабочих, привлечение специалистов со стороны на “узкие” участки деятельности компании.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Компания открыта для взаимовыгодного сотрудничества с надежными поставщиками и инвесторами.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ОАО ПК “Витязь” активно участвует в социально-экономической программе развития региона. Сознавая сложную социальную обстановку в стране и регионе, компания ведет широкую благотворительную деятельность. Производство и вся деятельность компании абсолютно экологически безопасны.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2.3.2 Стратегия и цели предприятия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Стратегия предприятия не предусматривает изменения профиля ОАО ПК “Витязь” в ближайшие годы. Анализ конъюнктуры рынка и анализ сильных и слабых сторон ОАО ПК “Витязь” показывают, что рынок пива в России имеет значительный потенциал для роста ОАО ПК “Витязь” в будущем, а ОАО ПК “Витязь” имеет конкурентные преимущества для реализации данного потенциала.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Среднесрочный план развития компании предусматривает увеличение в 2,3 раза объемов продаж ОАО ПК “Витязь” в течение последующих 5-7 лет в соответствие с динамикой развития рынка пива России.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Приоритетной задачей на ближайшие 4-5 лет ОАО ПК “Витязь” считает закрепление и увеличение продаж в сегменте более дорогого качественного пива и налаживание продаж по всей Европейской части России и на Урале.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реализации этих целей ОАО ПК “Витязь” ставит перед собой задачу улучшения в течение ближайшего года качественных характеристик выпускаемого пива, прежде всего повышения его стойкости и достижения стабильности вкуса.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Среди прочих мероприятий решение этих задач требует повышения автоматизации производства и улучшение управляемости компании в плане стандартизации управленческих процедур. Важнейшим мероприятием в этом направлении стала сертификация качества продукции по стандарту ИСО 9001 (сертификат получен 4.03.2002 г.).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Расчеты показывают, что компания способна сохранить высокую рентабельность, достаточную для обеспечения плана развития предприятия.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2.4 Анализ рынка и планирование маркетинга 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  <w:i/>
          <w:iCs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2.4.1 Количественные показатели рынка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течение последних пяти лет в России происходит бурный рост рынка пива. Общий объем потребления пива в 2001 г. по сравнению с 1995 г. вырос в натуральном выражении почти в 3 раза и достиг отметки в 643 млн. декалитров (данные Ассоциации “Пивоиндустрия”, Госкомстата РФ, Минсельхоза РФ).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ближайшие 5 лет объем потребления пива в России будет расти в среднем на 8% и достигнет в 2005 – 2007 г. объема в 826 млн. декалитров, после чего рынок достигнет стадии насыщения и стабилизируется (данные Ассоциации “Пивоиндустрия”, агентства “Комкон”, “Рамир”).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Основой для роста рынка пива в России является рост потребления пива на 1 человека (данные Ассоциации “Пивоиндустрия”, Госкомстата РФ, Минсельхоза РФ) (Диаграмма 1).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5765800" cy="2997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299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720"/>
        <w:rPr>
          <w:rFonts w:ascii="Times New Roman CYR" w:hAnsi="Times New Roman CYR" w:cs="Times New Roman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</w:rPr>
        <w:t>Диаграмма 1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Важнейшей чертой современного рынка пива в России является неравномерность роста потребления пива в различных сегментах рынка. </w:t>
      </w:r>
      <w:r>
        <w:rPr>
          <w:rFonts w:ascii="Times New Roman CYR" w:hAnsi="Times New Roman CYR" w:cs="Times New Roman CYR"/>
        </w:rPr>
        <w:lastRenderedPageBreak/>
        <w:t>Ценовые сегменты  рынка пива (Диаграмма 2).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Если сегмент дешевого пива вырос в последние годы только на 11%, то “среднего” пива – почти в 5 раз (!), “дорогого” пива -  почти в 2 раза, “элитного пива – почти в 6 раз (!). Таким образом, доля дешевого пива на рынке значительно сократилась.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исследований предпочтений конечных потребителей показывает, что процесс сокращения сегмента дешевого пива и рост сегментов среднего, дорогого и элитного пива будет происходить и в дальнейшем.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Основными рынками продаж ОАО ПК “Витязь” являются – Ульяновская, Самарская, Оренбургская, Саратовская, Пензенская, Челябинская, Московская и Нижегородская области, Чувашия, Татарстан, Башкирия, Краснодарский и Ставропольский край. При этом около 83% продукции потребляется в Ульяновской и Самарской областях, именно эти регионы являются стратегически важными для ПК “Витязь”. Следующими по важности являются Оренбургская область (7% продаж компании), и Саратовская область (4% продаж компании).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</w:t>
      </w:r>
      <w:r>
        <w:rPr>
          <w:rFonts w:ascii="Arial CYR" w:hAnsi="Arial CYR" w:cs="Arial CYR"/>
          <w:noProof/>
          <w:sz w:val="20"/>
          <w:szCs w:val="20"/>
          <w:lang w:eastAsia="ru-RU"/>
        </w:rPr>
        <w:drawing>
          <wp:inline distT="0" distB="0" distL="0" distR="0">
            <wp:extent cx="2679700" cy="2286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0"/>
          <w:szCs w:val="20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2628900" cy="2273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7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u w:val="single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Диаграмма 2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Основная цель ПК “Витязь” на 2002-2007 гг. – удержать занятую долю рынка в Ульяновске, Тольятти, Сызрани, Оренбурге и Саратове, а также добиться более глубокого проникновения на рынок Самары и Самарской области (за исключением Сызрани и Тольятти). Путь достижения цели – вывод на рынок новой марки пива, спозиционированной в среднеценовой нише, которая является наиболее перспективной.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таблице 6 показана емкость целевых рынков компании, доля, принадлежащая  ОАО ПК “Витязь” и прогноз ее динамики.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</w:rPr>
        <w:t>2.4.2 Качественные показатели рынка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Средний российский потребитель пива предпочитает светлое легкое пиво плотностью 11-12% и алкоголем  не более 5%. В течение последних 2-х лет (после кризиса 1999 года) сильно выросла также ниша крепкого пива – с плотностью свыше 15% и алкоголем свыше 7%. Причина – произошло  замещение резко подорожавших крепких алкогольных напитков пивом.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Доля мужчин-потребителей пива составляет около 80 % от всех мужчин, и она остается относительно постоянной в последние годы. Количество женщин, потребляющих пиво, меньше, но, тем не менее, их больше половины, и число это постоянно растет.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6.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Структура продаж ОАО ПК «Витязь» по регионам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left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184900" cy="561340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561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выпуск новой марки пива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 возрасту, основные потребители пива - это молодые люди, и с каждым годом они становятся все моложе. В целом около 4/5 всех молодых людей в возрасте до 30 лет (независимо от пола) потребляют пиво с различной регулярностью.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Подавляющая доля отечественного пива разливается в стеклянные бутылки различной емкости (от 0,31 до 0,7л, но наибольшей популярностью по-прежнему пользуется евробутылка 0,5 л), кроме этого высокой популярностью </w:t>
      </w:r>
      <w:r>
        <w:rPr>
          <w:rFonts w:ascii="Times New Roman CYR" w:hAnsi="Times New Roman CYR" w:cs="Times New Roman CYR"/>
        </w:rPr>
        <w:lastRenderedPageBreak/>
        <w:t>пользуется п/э тара - бутылки от 1,5л до 2,25л. Разливное пиво в кегах появилось в последние 5-6 лет и его доля стабильно возрастает. Наиболее растущий и перспективный сегмент рынка сегодня – пиво в жестяных банках.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</w:rPr>
        <w:t>Особенность рынка - продажа пива сильно подвержена сезонным колебаниям и летом пива продается примерно в 2 раза больше, чем зимой.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Характеристика среднестатистического потребителя пива "Витязь".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 данным маркетинговых исследований компании, основными потребителями продукции ОАО ПК “Витязь” являются низко- и среднедоходные группы населения (массовый опрос потребителей г. Ульяновск, г. Тольятти, февраль-март 2001г.). Эти группы подразделяются по категориям.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социальному положению: 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рабочие  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28%;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служащие          </w:t>
      </w:r>
      <w:r>
        <w:rPr>
          <w:rFonts w:ascii="Times New Roman CYR" w:hAnsi="Times New Roman CYR" w:cs="Times New Roman CYR"/>
        </w:rPr>
        <w:tab/>
        <w:t>22%;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предприниматели </w:t>
      </w:r>
      <w:r>
        <w:rPr>
          <w:rFonts w:ascii="Times New Roman CYR" w:hAnsi="Times New Roman CYR" w:cs="Times New Roman CYR"/>
        </w:rPr>
        <w:tab/>
        <w:t>15%;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студенты </w:t>
      </w:r>
      <w:r>
        <w:rPr>
          <w:rFonts w:ascii="Times New Roman CYR" w:hAnsi="Times New Roman CYR" w:cs="Times New Roman CYR"/>
        </w:rPr>
        <w:tab/>
        <w:t xml:space="preserve">          14%;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военнослужащие        6%;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безработные </w:t>
      </w:r>
      <w:r>
        <w:rPr>
          <w:rFonts w:ascii="Times New Roman CYR" w:hAnsi="Times New Roman CYR" w:cs="Times New Roman CYR"/>
        </w:rPr>
        <w:tab/>
        <w:t xml:space="preserve">         </w:t>
      </w:r>
      <w:r>
        <w:rPr>
          <w:rFonts w:ascii="Times New Roman CYR" w:hAnsi="Times New Roman CYR" w:cs="Times New Roman CYR"/>
        </w:rPr>
        <w:tab/>
        <w:t xml:space="preserve">  6%;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пенсионеры                 5%;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руководители </w:t>
      </w:r>
      <w:r>
        <w:rPr>
          <w:rFonts w:ascii="Times New Roman CYR" w:hAnsi="Times New Roman CYR" w:cs="Times New Roman CYR"/>
        </w:rPr>
        <w:tab/>
        <w:t xml:space="preserve">  </w:t>
      </w:r>
      <w:r>
        <w:rPr>
          <w:rFonts w:ascii="Times New Roman CYR" w:hAnsi="Times New Roman CYR" w:cs="Times New Roman CYR"/>
        </w:rPr>
        <w:tab/>
        <w:t xml:space="preserve">  2%.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возрасту:   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 16-25 лет</w:t>
      </w:r>
      <w:r>
        <w:rPr>
          <w:rFonts w:ascii="Times New Roman CYR" w:hAnsi="Times New Roman CYR" w:cs="Times New Roman CYR"/>
        </w:rPr>
        <w:tab/>
        <w:t xml:space="preserve">       </w:t>
      </w:r>
      <w:r>
        <w:rPr>
          <w:rFonts w:ascii="Times New Roman CYR" w:hAnsi="Times New Roman CYR" w:cs="Times New Roman CYR"/>
        </w:rPr>
        <w:tab/>
        <w:t>30%;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 26-35 лет             </w:t>
      </w:r>
      <w:r>
        <w:rPr>
          <w:rFonts w:ascii="Times New Roman CYR" w:hAnsi="Times New Roman CYR" w:cs="Times New Roman CYR"/>
        </w:rPr>
        <w:tab/>
        <w:t>25%;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 36-45 лет               </w:t>
      </w:r>
      <w:r>
        <w:rPr>
          <w:rFonts w:ascii="Times New Roman CYR" w:hAnsi="Times New Roman CYR" w:cs="Times New Roman CYR"/>
        </w:rPr>
        <w:tab/>
        <w:t>35%;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  старше                      </w:t>
      </w:r>
      <w:r>
        <w:rPr>
          <w:rFonts w:ascii="Times New Roman CYR" w:hAnsi="Times New Roman CYR" w:cs="Times New Roman CYR"/>
        </w:rPr>
        <w:tab/>
        <w:t>10%.</w:t>
      </w:r>
    </w:p>
    <w:p w:rsidR="00AA4F94" w:rsidRDefault="00AA4F94" w:rsidP="00AA4F94">
      <w:pPr>
        <w:widowControl w:val="0"/>
        <w:tabs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Факторы выбора марки при покупке наши потребители оценили по важности следующим образом: 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 вкус                            9,25 балла по 10-балльной шкале;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марка                           7,03;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-  цвет                             6,78;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аромат                         6,63;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низкая цена                 6,18;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алкоголь                      6,16;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пастеризованное         5,09;</w:t>
      </w:r>
    </w:p>
    <w:p w:rsidR="00AA4F94" w:rsidRDefault="00AA4F94" w:rsidP="00AA4F94">
      <w:pPr>
        <w:widowControl w:val="0"/>
        <w:tabs>
          <w:tab w:val="left" w:pos="851"/>
          <w:tab w:val="left" w:pos="522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бутылка и этикетка     4,87.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Итак, основные тенденции рынка пива и потребительского спроса:</w:t>
      </w:r>
    </w:p>
    <w:p w:rsidR="00AA4F94" w:rsidRDefault="00AA4F94" w:rsidP="00AA4F94">
      <w:pPr>
        <w:widowControl w:val="0"/>
        <w:numPr>
          <w:ilvl w:val="0"/>
          <w:numId w:val="20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Развитие пивоваренной отрасли идет бурными темпами, прирост потребления пива ежегодно составляет около 10-15%.</w:t>
      </w:r>
    </w:p>
    <w:p w:rsidR="00AA4F94" w:rsidRDefault="00AA4F94" w:rsidP="00AA4F94">
      <w:pPr>
        <w:widowControl w:val="0"/>
        <w:numPr>
          <w:ilvl w:val="0"/>
          <w:numId w:val="20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Дальнейшее увеличение потребления пива (в 2001 году один среднестатистический житель России выпивал около 41 литра пива; в 2002 году этот показатель увеличится до 44 литров).</w:t>
      </w:r>
    </w:p>
    <w:p w:rsidR="00AA4F94" w:rsidRDefault="00AA4F94" w:rsidP="00AA4F94">
      <w:pPr>
        <w:widowControl w:val="0"/>
        <w:numPr>
          <w:ilvl w:val="0"/>
          <w:numId w:val="20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Усиление позиций крупных заводов за счет снижения импорта и захвата рынка мелких региональных производителей пива.</w:t>
      </w:r>
    </w:p>
    <w:p w:rsidR="00AA4F94" w:rsidRDefault="00AA4F94" w:rsidP="00AA4F94">
      <w:pPr>
        <w:widowControl w:val="0"/>
        <w:numPr>
          <w:ilvl w:val="0"/>
          <w:numId w:val="20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Расширение ассортимента и увеличение стойкости пива, снижение доли дешевого пива.</w:t>
      </w:r>
    </w:p>
    <w:p w:rsidR="00AA4F94" w:rsidRDefault="00AA4F94" w:rsidP="00AA4F94">
      <w:pPr>
        <w:widowControl w:val="0"/>
        <w:numPr>
          <w:ilvl w:val="0"/>
          <w:numId w:val="2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Увеличение разнообразия видов тары (типов упаковки). Рост популярности пива в бутылках различной емкости, жестяных банках, бочонках и в ПЭТ-упаковке.</w:t>
      </w:r>
    </w:p>
    <w:p w:rsidR="00AA4F94" w:rsidRDefault="00AA4F94" w:rsidP="00AA4F94">
      <w:pPr>
        <w:widowControl w:val="0"/>
        <w:numPr>
          <w:ilvl w:val="0"/>
          <w:numId w:val="2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Рост популярности качественного пива среднего и дорогого сегмента (пастеризованное, с длительным сроком хранения и хорошей рекламной поддержкой).</w:t>
      </w:r>
    </w:p>
    <w:p w:rsidR="00AA4F94" w:rsidRDefault="00AA4F94" w:rsidP="00AA4F94">
      <w:pPr>
        <w:widowControl w:val="0"/>
        <w:numPr>
          <w:ilvl w:val="0"/>
          <w:numId w:val="21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Потребитель становится все более требовательным в области </w:t>
      </w:r>
      <w:r>
        <w:rPr>
          <w:rFonts w:ascii="Times New Roman CYR" w:hAnsi="Times New Roman CYR" w:cs="Times New Roman CYR"/>
          <w:i/>
          <w:iCs/>
        </w:rPr>
        <w:t>качества</w:t>
      </w:r>
      <w:r>
        <w:rPr>
          <w:rFonts w:ascii="Times New Roman CYR" w:hAnsi="Times New Roman CYR" w:cs="Times New Roman CYR"/>
        </w:rPr>
        <w:t xml:space="preserve"> пива (вкус, пена, цвет, прозрачность), </w:t>
      </w:r>
      <w:r>
        <w:rPr>
          <w:rFonts w:ascii="Times New Roman CYR" w:hAnsi="Times New Roman CYR" w:cs="Times New Roman CYR"/>
          <w:i/>
          <w:iCs/>
        </w:rPr>
        <w:t>внешнего оформления</w:t>
      </w:r>
      <w:r>
        <w:rPr>
          <w:rFonts w:ascii="Times New Roman CYR" w:hAnsi="Times New Roman CYR" w:cs="Times New Roman CYR"/>
        </w:rPr>
        <w:t xml:space="preserve"> (оригинальность бутылки, этикетка, пробка) и </w:t>
      </w:r>
      <w:r>
        <w:rPr>
          <w:rFonts w:ascii="Times New Roman CYR" w:hAnsi="Times New Roman CYR" w:cs="Times New Roman CYR"/>
          <w:i/>
          <w:iCs/>
        </w:rPr>
        <w:t>престижности марки</w:t>
      </w:r>
      <w:r>
        <w:rPr>
          <w:rFonts w:ascii="Times New Roman CYR" w:hAnsi="Times New Roman CYR" w:cs="Times New Roman CYR"/>
        </w:rPr>
        <w:t xml:space="preserve"> (формируется производителем в сознании потребителя посредством рекламы, связей с общественностью, спонсорской деятельности и т.д.).</w:t>
      </w:r>
    </w:p>
    <w:p w:rsidR="00AA4F94" w:rsidRDefault="00AA4F94" w:rsidP="00AA4F94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Данные о показателях рынка и поведении потребителей взяты из </w:t>
      </w:r>
      <w:r>
        <w:rPr>
          <w:rFonts w:ascii="Times New Roman CYR" w:hAnsi="Times New Roman CYR" w:cs="Times New Roman CYR"/>
        </w:rPr>
        <w:lastRenderedPageBreak/>
        <w:t>периодических маркетинговых исследований, проводимых службой продаж и маркетинга.</w:t>
      </w:r>
    </w:p>
    <w:p w:rsidR="00AA4F94" w:rsidRDefault="00AA4F94" w:rsidP="00AA4F94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2.4.3 Конкуренция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Основные конкуренты ПК “Витязь” сегодня:</w:t>
      </w:r>
      <w:r>
        <w:rPr>
          <w:rFonts w:ascii="Times New Roman CYR" w:hAnsi="Times New Roman CYR" w:cs="Times New Roman CYR"/>
        </w:rPr>
        <w:t xml:space="preserve"> Тольяттинский пивоваренный завод (далее - ПЗ); Жигулевское пиво (Самара); Красный Восток (Казань); Стерлитамакский ПЗ (Башкирия); Поволжье (Волжский); Букет Чувашии (Чебоксары).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>Потенциальные конкуренты:</w:t>
      </w:r>
      <w:r>
        <w:rPr>
          <w:rFonts w:ascii="Times New Roman CYR" w:hAnsi="Times New Roman CYR" w:cs="Times New Roman CYR"/>
        </w:rPr>
        <w:t xml:space="preserve"> строится новый пивзавод в Пензе; строится новый пивзавод в Самаре; введен в эксплуатацию новый завод в Чебоксарах.</w:t>
      </w: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Возможно также усиление конкуренции со стороны Тольяттинского ПЗ и “Жигулевского пива” (Самара).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Службой продаж и маркетинга ведется база данных конкурентов. Там содержится информация о действующих ценах конкурентов (и их динамике) и о продажах конкурентов (по дням, месяцам и годам). Эти данные собираются путем обмена информацией с другими заводами. Общение происходит посредством телефона, факса и электронной почты. Личные контакты происходят на выставках и фестивалях, а также при запланированных поездках на другие пивоваренные заводы.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Недостающие данные получаются путем опроса оптовых клиентов ПК “Витязь” и проведения маркетинговых исследований. Кроме того, постоянно анализируется пресса, которая много внимания уделяет развитию пивоваренной отрасли и публикует данные о тенденциях, развивающихся на рынке, и о действиях конкурентов. Все это позволяет оперативно получать информацию об изменениях на рынке и быстро на них реагировать.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lastRenderedPageBreak/>
        <w:t>2.4.4 Планирование маркетинга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Основными разделами плана маркетинга являются: </w:t>
      </w:r>
    </w:p>
    <w:p w:rsidR="00AA4F94" w:rsidRDefault="00AA4F94" w:rsidP="00AA4F94">
      <w:pPr>
        <w:widowControl w:val="0"/>
        <w:tabs>
          <w:tab w:val="left" w:pos="1069"/>
        </w:tabs>
        <w:autoSpaceDE w:val="0"/>
        <w:autoSpaceDN w:val="0"/>
        <w:adjustRightInd w:val="0"/>
        <w:spacing w:line="360" w:lineRule="auto"/>
        <w:ind w:left="1069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Цели и задачи;</w:t>
      </w:r>
    </w:p>
    <w:p w:rsidR="00AA4F94" w:rsidRDefault="00AA4F94" w:rsidP="00AA4F94">
      <w:pPr>
        <w:widowControl w:val="0"/>
        <w:tabs>
          <w:tab w:val="left" w:pos="1069"/>
        </w:tabs>
        <w:autoSpaceDE w:val="0"/>
        <w:autoSpaceDN w:val="0"/>
        <w:adjustRightInd w:val="0"/>
        <w:spacing w:line="360" w:lineRule="auto"/>
        <w:ind w:left="1069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Миссия и стратегия новой марки;</w:t>
      </w:r>
    </w:p>
    <w:p w:rsidR="00AA4F94" w:rsidRDefault="00AA4F94" w:rsidP="00AA4F94">
      <w:pPr>
        <w:widowControl w:val="0"/>
        <w:tabs>
          <w:tab w:val="left" w:pos="1069"/>
        </w:tabs>
        <w:autoSpaceDE w:val="0"/>
        <w:autoSpaceDN w:val="0"/>
        <w:adjustRightInd w:val="0"/>
        <w:spacing w:line="360" w:lineRule="auto"/>
        <w:ind w:left="1069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Ассортиментная политика;</w:t>
      </w:r>
    </w:p>
    <w:p w:rsidR="00AA4F94" w:rsidRDefault="00AA4F94" w:rsidP="00AA4F94">
      <w:pPr>
        <w:widowControl w:val="0"/>
        <w:tabs>
          <w:tab w:val="left" w:pos="1069"/>
        </w:tabs>
        <w:autoSpaceDE w:val="0"/>
        <w:autoSpaceDN w:val="0"/>
        <w:adjustRightInd w:val="0"/>
        <w:spacing w:line="360" w:lineRule="auto"/>
        <w:ind w:left="1069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Ценовая политика;</w:t>
      </w:r>
    </w:p>
    <w:p w:rsidR="00AA4F94" w:rsidRDefault="00AA4F94" w:rsidP="00AA4F94">
      <w:pPr>
        <w:widowControl w:val="0"/>
        <w:tabs>
          <w:tab w:val="left" w:pos="1069"/>
        </w:tabs>
        <w:autoSpaceDE w:val="0"/>
        <w:autoSpaceDN w:val="0"/>
        <w:adjustRightInd w:val="0"/>
        <w:spacing w:line="360" w:lineRule="auto"/>
        <w:ind w:left="1069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Дистрибьюторская политика;</w:t>
      </w:r>
    </w:p>
    <w:p w:rsidR="00AA4F94" w:rsidRDefault="00AA4F94" w:rsidP="00AA4F94">
      <w:pPr>
        <w:widowControl w:val="0"/>
        <w:tabs>
          <w:tab w:val="left" w:pos="1069"/>
        </w:tabs>
        <w:autoSpaceDE w:val="0"/>
        <w:autoSpaceDN w:val="0"/>
        <w:adjustRightInd w:val="0"/>
        <w:spacing w:line="360" w:lineRule="auto"/>
        <w:ind w:left="1069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Коммуникационная политика.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разделе плана</w:t>
      </w:r>
      <w:r>
        <w:rPr>
          <w:rFonts w:ascii="Times New Roman CYR" w:hAnsi="Times New Roman CYR" w:cs="Times New Roman CYR"/>
          <w:i/>
          <w:iCs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</w:rPr>
        <w:t>«Цели и задачи»</w:t>
      </w:r>
      <w:r>
        <w:rPr>
          <w:rFonts w:ascii="Times New Roman CYR" w:hAnsi="Times New Roman CYR" w:cs="Times New Roman CYR"/>
          <w:i/>
          <w:iCs/>
        </w:rPr>
        <w:t xml:space="preserve"> стратегическая цель ПК “Витязь” на 2002-2007 гг.:</w:t>
      </w:r>
      <w:r>
        <w:rPr>
          <w:rFonts w:ascii="Times New Roman CYR" w:hAnsi="Times New Roman CYR" w:cs="Times New Roman CYR"/>
        </w:rPr>
        <w:t xml:space="preserve">  удержать занятую долю рынка в Ульяновске (на уровне 55% рынка), Тольятти (48%), Сызрани (50%), Оренбурге (6%) и Саратове (3%), а также добиться более глубокого проникновения на рынок Самары (занять долю рынка=4%) и Самарской области (за исключением Сызрани и Тольятти) (доля рынка=6%).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 xml:space="preserve">Тактические цели на 2002 год: </w:t>
      </w:r>
      <w:r>
        <w:rPr>
          <w:rFonts w:ascii="Times New Roman CYR" w:hAnsi="Times New Roman CYR" w:cs="Times New Roman CYR"/>
        </w:rPr>
        <w:t>вывести на рынок новую марку пива, спозиционированную в среднеценовой нише; добиться уровня дистрибуции не менее 90% в Ульяновской области, 60% в Самарской области, 30% - в Оренбургской области и 20% - в Саратовской области; провести рекламную кампанию новой марки пива в стратегических регионах продаж (задача – ознакомление; формирование приверженности у целевой группы потребителей); довести долю новой марки до 70% продаж всего пива Компании к 2004 году; поддержать продажи марки “Витязь” на уровне 2001 года.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Раздел плана</w:t>
      </w:r>
      <w:r>
        <w:rPr>
          <w:rFonts w:ascii="Times New Roman CYR" w:hAnsi="Times New Roman CYR" w:cs="Times New Roman CYR"/>
          <w:i/>
          <w:iCs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</w:rPr>
        <w:t>«Миссия и стратегия новой марки</w:t>
      </w:r>
      <w:r>
        <w:rPr>
          <w:rFonts w:ascii="Times New Roman CYR" w:hAnsi="Times New Roman CYR" w:cs="Times New Roman CYR"/>
          <w:i/>
          <w:iCs/>
        </w:rPr>
        <w:t>» это вывод на рынок новой марки пива</w:t>
      </w:r>
      <w:r>
        <w:rPr>
          <w:rFonts w:ascii="Times New Roman CYR" w:hAnsi="Times New Roman CYR" w:cs="Times New Roman CYR"/>
        </w:rPr>
        <w:t xml:space="preserve"> – переход в новую для завода ценовую нишу “среднего пива” (Балтика, Толстяк, Бочкарев, Золотая Бочка, Невское и т.д., розничные цены на данный момент - от 12 до 16 руб. за 1 бутылку).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Этот переход предполагает не только установление высокой цены на эту </w:t>
      </w:r>
      <w:r>
        <w:rPr>
          <w:rFonts w:ascii="Times New Roman CYR" w:hAnsi="Times New Roman CYR" w:cs="Times New Roman CYR"/>
        </w:rPr>
        <w:lastRenderedPageBreak/>
        <w:t>марку, “красивое” оформление и рекламную поддержку, но и новый подход к качеству выпускаемого продукта. С этой целью принято решение о реконструкции производства.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  <w:iCs/>
        </w:rPr>
        <w:t xml:space="preserve">Позиционирование марки. </w:t>
      </w:r>
      <w:r>
        <w:rPr>
          <w:rFonts w:ascii="Times New Roman CYR" w:hAnsi="Times New Roman CYR" w:cs="Times New Roman CYR"/>
        </w:rPr>
        <w:t>Классический сорт светлого пива со следующими качественными характеристиками:  плотность</w:t>
      </w:r>
      <w:r>
        <w:rPr>
          <w:rFonts w:ascii="Times New Roman CYR" w:hAnsi="Times New Roman CYR" w:cs="Times New Roman CYR"/>
        </w:rPr>
        <w:tab/>
        <w:t xml:space="preserve"> – 12%; алкоголь –4,5-5,0 %; состав – солод, вода, хмель; вкус – мягкий, легкий, классический, без специфических оттенков. Ориентация на вкус Staropramen, Балтики №3, Невского классического, Бочкарева классического.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Позиционируется в “средней” ценовой нише (средняя розничная цена = 14 руб. за 1 бутылку).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Целевая группа – активные покупатели пива.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Прогноз продаж новой марки в региональном разрезе (Таблица 6).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 xml:space="preserve">Раздел 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«Ассортиментная политика» </w:t>
      </w:r>
      <w:r>
        <w:rPr>
          <w:rFonts w:ascii="Times New Roman CYR" w:hAnsi="Times New Roman CYR" w:cs="Times New Roman CYR"/>
        </w:rPr>
        <w:t>планирует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rFonts w:ascii="Times New Roman CYR" w:hAnsi="Times New Roman CYR" w:cs="Times New Roman CYR"/>
        </w:rPr>
        <w:t>новый вид упаковки, новых марок пива.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Марка “Витязь”: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внедрение нового вида упаковки – ПЭТ. Быстрый рост – доля упаковки 18% от общих продаж пива;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за счет переключения многих клиентов на пиво в ПЭТ - упаковке снизилась доля бутылочного пива;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 xml:space="preserve"> пиво в кегах постепенно вытесняет пиво в бочках.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2001 году произошли следующие ассортиментные сдвиги (Диаграм-</w:t>
      </w:r>
      <w:r>
        <w:rPr>
          <w:rFonts w:ascii="Times New Roman CYR" w:hAnsi="Times New Roman CYR" w:cs="Times New Roman CYR"/>
        </w:rPr>
        <w:br/>
        <w:t xml:space="preserve">ма 3).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Диаграмма 3 Структура продаж по видам пива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соответствии с изменениями потребительского спроса в настоящее время возрастает доля дорогих сортов в ассортименте.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Эти тенденции продолжатся и в ближайшие годы.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этот период снизилось количество сортов, сняты с производства менее популярные сорта – “Кумир”, “Град Симбирск”, “Богдан”, “Никас”. За счет этого возросла доля выпуска популярных относительно дорогих сортов – “Литвиновское”, “VIP”, “Витязь – Янтарное”.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Появились 3 новых сорта – “Легкое” (классический недорогой сорт),  “Кураж” (крепкое пиво с тонизирующей добавкой, выведенное в средний сегмент рынка) и “Жигулёвское” (светлое пиво в дешёвом ценовом сегменте).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Новая марка пива включает несколько сортов – светлое, классическое, премиум (в дальнейшем - пшеничное и безалкогольное). Эти сорта будут разливаться в стеклянные бутылки 0,5 л и кеги.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</w:rPr>
        <w:t>Ценовая политика</w:t>
      </w:r>
      <w:r>
        <w:rPr>
          <w:rFonts w:ascii="Times New Roman CYR" w:hAnsi="Times New Roman CYR" w:cs="Times New Roman CYR"/>
        </w:rPr>
        <w:t xml:space="preserve"> направлена на достижение следующих целей: увеличение объема продаж продукции ОАО ПК “Витязь” (предоставление накопительных скидок за выбранный объем продукции в месяц; максимальная скидка 5% - 50 000 дал);  освоение новых рынков продаж, привлечение клиентов в неосвоенных регионах (скидка для клиентов из новых регионов; максимальная скидка 5% - 3 000 дал).   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Марка “Витязь”, кроме сорта “Кураж”, позиционируется в дешевом ценовом сегменте (розничные цены – от 6,50 руб. до 9,00 руб. за 1 бутылку).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Ценовая политика – гибкая, учитывающая следующие факторы: 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сезонные колебания;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изменения рыночной конъюнктуры и потребительского спроса;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-</w:t>
      </w:r>
      <w:r>
        <w:rPr>
          <w:rFonts w:ascii="Times New Roman CYR" w:hAnsi="Times New Roman CYR" w:cs="Times New Roman CYR"/>
        </w:rPr>
        <w:tab/>
        <w:t>уровень конкуренции и ценовая политика ближайших конкурентов.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Новая марка позиционируется в среднем ценовом сегменте (розничные цены – 14 руб. за 1 бутылку).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Ценовая политика – стабильная.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Система стимулирования изложена в положении о скидках, которое регламентирует порядок предоставления отпускных цен, скидок и дополнительных льгот от реализации продукции ОАО ПК “Витязь”. 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настоящее время </w:t>
      </w:r>
      <w:r>
        <w:rPr>
          <w:rFonts w:ascii="Times New Roman CYR" w:hAnsi="Times New Roman CYR" w:cs="Times New Roman CYR"/>
          <w:b/>
          <w:bCs/>
          <w:i/>
          <w:iCs/>
        </w:rPr>
        <w:t>дистрибьюторская политика</w:t>
      </w:r>
      <w:r>
        <w:rPr>
          <w:rFonts w:ascii="Times New Roman CYR" w:hAnsi="Times New Roman CYR" w:cs="Times New Roman CYR"/>
        </w:rPr>
        <w:t xml:space="preserve"> осуществляется через оптовых клиентов путем самовывоза либо доставкой транспортом ОАО ПК “Витязь”.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городу Ульяновску высокий уровень дистрибуции (97-99%) достигается наличием зависимых и собственных оптовых баз в каждом районе города.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10% от производимой продукции реализуется через сбытовое подразделение ОАО ПК “Витязь” - Торговый центр, клиентами которого являются предприятия розницы и мелкого опта.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 конца 2002 г. запланировано организовать систему агентов по продажам и систему доставки продукции до розничных точек по городу Ульяновску и Ульяновской области. Целью данного мероприятия является закрепление позиций компании в данном регионе, повышение рентабельности Компании и увеличение степени контроля за дистрибуцией в г. Ульяновске и Ульяновской области.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разделе </w:t>
      </w:r>
      <w:r>
        <w:rPr>
          <w:rFonts w:ascii="Times New Roman CYR" w:hAnsi="Times New Roman CYR" w:cs="Times New Roman CYR"/>
          <w:b/>
          <w:bCs/>
          <w:i/>
          <w:iCs/>
        </w:rPr>
        <w:t>«Коммуникационная политика»</w:t>
      </w:r>
      <w:r>
        <w:rPr>
          <w:rFonts w:ascii="Times New Roman CYR" w:hAnsi="Times New Roman CYR" w:cs="Times New Roman CYR"/>
        </w:rPr>
        <w:t xml:space="preserve">  планируется рекламный бюджет (Таблица 7).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7.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Рекламный бюджет на 2002 г.</w:t>
      </w:r>
    </w:p>
    <w:tbl>
      <w:tblPr>
        <w:tblW w:w="0" w:type="auto"/>
        <w:tblInd w:w="675" w:type="dxa"/>
        <w:tblLayout w:type="fixed"/>
        <w:tblLook w:val="0000"/>
      </w:tblPr>
      <w:tblGrid>
        <w:gridCol w:w="6379"/>
        <w:gridCol w:w="2410"/>
      </w:tblGrid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Статья расходов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Доля в общих расходах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на рекламу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lastRenderedPageBreak/>
              <w:t>Маркетинговые расходы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>
              <w:rPr>
                <w:rFonts w:ascii="Arial CYR" w:hAnsi="Arial CYR" w:cs="Arial CYR"/>
                <w:color w:val="000000"/>
                <w:sz w:val="22"/>
                <w:szCs w:val="22"/>
              </w:rPr>
              <w:t>7,3%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Продвижение товара на региональные рынки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>
              <w:rPr>
                <w:rFonts w:ascii="Arial CYR" w:hAnsi="Arial CYR" w:cs="Arial CYR"/>
                <w:color w:val="000000"/>
                <w:sz w:val="22"/>
                <w:szCs w:val="22"/>
              </w:rPr>
              <w:t>3,1%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Изготовление видео, аудиорекламы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>
              <w:rPr>
                <w:rFonts w:ascii="Arial CYR" w:hAnsi="Arial CYR" w:cs="Arial CYR"/>
                <w:color w:val="000000"/>
                <w:sz w:val="22"/>
                <w:szCs w:val="22"/>
              </w:rPr>
              <w:t>3,2%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Рекламная кампания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>
              <w:rPr>
                <w:rFonts w:ascii="Arial CYR" w:hAnsi="Arial CYR" w:cs="Arial CYR"/>
                <w:color w:val="000000"/>
                <w:sz w:val="22"/>
                <w:szCs w:val="22"/>
              </w:rPr>
              <w:t>11,6%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Наружная реклама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36,0%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Средства поддержки продаж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10,5%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Торговое оборудование для элитных мест продаж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14,2%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Сувенирная продукция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5,2%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Связи с общественностью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8,9%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100,0%</w:t>
            </w:r>
          </w:p>
        </w:tc>
      </w:tr>
    </w:tbl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before="100" w:after="100"/>
        <w:jc w:val="left"/>
        <w:rPr>
          <w:rFonts w:ascii="Arial CYR" w:hAnsi="Arial CYR" w:cs="Arial CYR"/>
          <w:sz w:val="20"/>
          <w:szCs w:val="20"/>
        </w:rPr>
      </w:pPr>
    </w:p>
    <w:p w:rsidR="00AA4F94" w:rsidRDefault="00AA4F94" w:rsidP="00AA4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Структура рекламных расходов в 2003 году по большей части сохранится при общем увеличении затрат на рекламу и public relations на 20-30%.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Около 50% рекламного бюджета займет поддержка новой марки, 50% - марки “Витязь”.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Комплекс коммуникаций по марке “Витязь” выдерживается в рамках утвержденного позиционирования марки – пиво для активных потребителей пива с низким и средним доходом. Акцент - образ пива как напитка для отдыха. Избирательно для Ульяновска и области – образ пива как патриотического напитка. Коммуникационная политика – активная, единая для всех регионов продаж ПК “Витязь”.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2.5 План производства, план расчёта прибылей/убытков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План развития предприятия предусматривает следующие объёмы реализации: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 xml:space="preserve">пива - 6,5 млн. дал пива в год с постепенным увеличением доли новой </w:t>
      </w:r>
      <w:r>
        <w:rPr>
          <w:rFonts w:ascii="Times New Roman CYR" w:hAnsi="Times New Roman CYR" w:cs="Times New Roman CYR"/>
        </w:rPr>
        <w:lastRenderedPageBreak/>
        <w:t>марки пива в течение трёх лет с 15% до 70%;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 xml:space="preserve">солода - 2 750 тонн в год; 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минеральной воды - 100 тыс. дал в год;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 xml:space="preserve"> ячменно-солодового концентрата - 360 тонн в год.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Всего за период реализации инвестиционного проекта (01.01.2002-01.01.2008 гг.) планируется реализовать  39 000 тыс. дал, в том числе несортового пива из дешёвого сегмента – 7 476 тыс. дал (19%), сортового пива из дешёвого сегмента – 9 101 тыс. дал (23%) и пива из среднего ценового сегмента – 22 423 тыс. дал (58%); а также 16500 тонн солода, 600 тыс. дал минеральной воды и 2 160 тонн ячменно-солодового концентрата.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Расчёт объёмов производства продукции на период реализации инвестиционного проекта (Приложение 1).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расчётах по данному инвестиционному проекту заложен годовой темп инфляции цен на выпускаемую продукцию и используемые ресурсы – 12%.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Руководствуясь принятой на предприятии политикой ценообразования, направленной на поддержание оптимального сочетания цены и качества продукции и укрепление конкурентоспособности выпускаемой продукции, а также учитывая реальное состояние и тенденции развития рынка пива, в инвестиционном проекте для определения доходности капиталовложений устанавливаются цены по трём (типичным в своей ценовой группе) сортам пива: несортового пива из дешёвого сегмента, сортового пива из дешёвого сегмента и пива из среднего ценового сегмента. По солоду, минеральной воде и ячменно-солодовому концентрату в расчётах применены фактические цены на момент составления бизнес-плана (Таблица 8).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426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8.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426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Цены на продукцию ОАО ПК "Витязь" </w:t>
      </w:r>
    </w:p>
    <w:tbl>
      <w:tblPr>
        <w:tblW w:w="0" w:type="auto"/>
        <w:jc w:val="center"/>
        <w:tblLayout w:type="fixed"/>
        <w:tblLook w:val="0000"/>
      </w:tblPr>
      <w:tblGrid>
        <w:gridCol w:w="4736"/>
        <w:gridCol w:w="1609"/>
        <w:gridCol w:w="1985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866"/>
          <w:jc w:val="center"/>
        </w:trPr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Ед. измерения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Цена без НДС, но включая </w:t>
            </w:r>
            <w:r>
              <w:rPr>
                <w:rFonts w:ascii="Times New Roman CYR" w:hAnsi="Times New Roman CYR" w:cs="Times New Roman CYR"/>
              </w:rPr>
              <w:lastRenderedPageBreak/>
              <w:t>акцизы, руб.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Несортовое пиво из дешёвого сегмента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тыс. дал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70 500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Сортовое пиво из дешёвого сегмента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тыс. дал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91 500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Пиво из среднего ценового сегмента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тыс. дал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170 000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Солод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тонна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7 150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Минеральная вода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тыс. дал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32 590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Ячменно-солодовый концентрат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тонна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19 800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426"/>
        <w:rPr>
          <w:rFonts w:ascii="Times New Roman CYR" w:hAnsi="Times New Roman CYR" w:cs="Times New Roman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Всего за период реализации инвестиционного проекта (01.01.2002-01.01.2008 гг.) планируется реализовать продукцию на сумму 7 683 млн. руб., в том числе от реализации: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пива – 7 430 млн. руб. (97%), которую, в свою очередь, составляет выручка от реализации несортового пива – 651 млн. руб. (8%), сортового пива из дешёвого ценового сегмента – 1133 млн. руб. (15%) и пива из среднего сортового сегмента – 5 646 млн. руб. (73%);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солода – 166 млн. руб. (2%);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минеральной воды – 27 млн. руб. (0,4%);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ячменно-солодового концентрата – 60 млн. руб. (1%).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</w:rPr>
        <w:t>Распределение выручки от реализации за период реализации инвестиционного проекта (Приложение 2).</w:t>
      </w:r>
      <w:r>
        <w:rPr>
          <w:rFonts w:ascii="Times New Roman CYR" w:hAnsi="Times New Roman CYR" w:cs="Times New Roman CYR"/>
          <w:i/>
          <w:iCs/>
        </w:rPr>
        <w:t xml:space="preserve">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составе производственных затрат по проекту (Приложение 5)  выделяются: 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прямые переменные материальные затраты (изменяются прямо пропорционально объёму производства) (Приложение 3), которые, в свою очередь, даны в разрезе  трёх сортов пива, солода, минеральной воды и ячменно-солодового концентрата;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 xml:space="preserve">общие материальные затраты, расшифрованные по службам (Таблица </w:t>
      </w:r>
      <w:r>
        <w:rPr>
          <w:rFonts w:ascii="Times New Roman CYR" w:hAnsi="Times New Roman CYR" w:cs="Times New Roman CYR"/>
        </w:rPr>
        <w:lastRenderedPageBreak/>
        <w:t>9);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9.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</w:rPr>
        <w:t>Общие материальные затраты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6095"/>
        <w:gridCol w:w="1484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Общие материальные затраты, (выплаты ежемесячно)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тыс. руб.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5"/>
          <w:jc w:val="center"/>
        </w:trPr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Общие материальные затраты, всего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1 375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 xml:space="preserve">   Служба главного энергетика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255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49"/>
          <w:jc w:val="center"/>
        </w:trPr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 xml:space="preserve">   Служба главного механика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39"/>
          <w:jc w:val="center"/>
        </w:trPr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 xml:space="preserve">   Строительное управление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180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7"/>
          <w:jc w:val="center"/>
        </w:trPr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 xml:space="preserve">   Автотранспортный цех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400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затраты на оплату труда (Таблица 10) с отчислениями, которые  составляют 36% от фонда заработной платы (Таблица 11).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10.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Затраты на оплату труда</w:t>
      </w:r>
    </w:p>
    <w:tbl>
      <w:tblPr>
        <w:tblW w:w="0" w:type="auto"/>
        <w:jc w:val="center"/>
        <w:tblLayout w:type="fixed"/>
        <w:tblLook w:val="0000"/>
      </w:tblPr>
      <w:tblGrid>
        <w:gridCol w:w="3149"/>
        <w:gridCol w:w="1701"/>
        <w:gridCol w:w="1559"/>
        <w:gridCol w:w="1865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1223"/>
          <w:jc w:val="center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Количество человек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Оклад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 месяц,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руб.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Затраты на оплату труда, ежемесячно, тыс. руб.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Постоянный производственный персонал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4 927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2 577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Переменный производственный персонал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4 927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2 523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Административно-управленческий персонал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6 905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1 436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6 536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jc w:val="right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ind w:left="5760" w:firstLine="72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11.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Структура отчислений с фонда заработной платы</w:t>
      </w:r>
    </w:p>
    <w:tbl>
      <w:tblPr>
        <w:tblW w:w="0" w:type="auto"/>
        <w:jc w:val="center"/>
        <w:tblLayout w:type="fixed"/>
        <w:tblLook w:val="0000"/>
      </w:tblPr>
      <w:tblGrid>
        <w:gridCol w:w="4928"/>
        <w:gridCol w:w="2126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481"/>
          <w:jc w:val="center"/>
        </w:trPr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%, ежемесячно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Пенсионный фонд*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Фонд социального страхования*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Фонд обязательного медицинского страхования*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3,6%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 w:line="360" w:lineRule="auto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Продолжение таблицы 11.</w:t>
      </w:r>
    </w:p>
    <w:tbl>
      <w:tblPr>
        <w:tblW w:w="0" w:type="auto"/>
        <w:jc w:val="center"/>
        <w:tblLayout w:type="fixed"/>
        <w:tblLook w:val="0000"/>
      </w:tblPr>
      <w:tblGrid>
        <w:gridCol w:w="4928"/>
        <w:gridCol w:w="2126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481"/>
          <w:jc w:val="center"/>
        </w:trPr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%, ежемесячно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Отчисления на травматизм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36%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rPr>
          <w:rFonts w:ascii="Arial CYR" w:hAnsi="Arial CYR" w:cs="Arial CYR"/>
          <w:sz w:val="26"/>
          <w:szCs w:val="26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* - перечисляются по Единому социальному налогу.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постоянные накладные затраты, расшифровка по службам (Таблица 12);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12.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</w:rPr>
        <w:t>Постоянные накладные затраты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6538"/>
        <w:gridCol w:w="1709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ind w:firstLine="129"/>
              <w:jc w:val="left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тыс. руб.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21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 xml:space="preserve">  Постоянные накладные затраты, всего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2 125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313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left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Служба главного энергетика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140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5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left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Служба главного механика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45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79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left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Автотранспортный цех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160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left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Тепло-, электроэнергия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180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49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left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Коммерческие расходы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940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left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Административные расходы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370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7"/>
          <w:jc w:val="center"/>
        </w:trPr>
        <w:tc>
          <w:tcPr>
            <w:tcW w:w="6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left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   Непромышленная группа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290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rPr>
          <w:rFonts w:ascii="Times New Roman CYR" w:hAnsi="Times New Roman CYR" w:cs="Times New Roman CYR"/>
          <w:sz w:val="26"/>
          <w:szCs w:val="26"/>
        </w:rPr>
      </w:pP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  амортизационные отчисления.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Средняя норма амортизационных отчислений составляет 9% в год.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Планируется, что по оборудованию, приобретаемому по лизингу, будет применяться ускоренная амортизация и по истечению сроков лизинга оборудование будет передано ОАО ПК “Витязь” по нулевой остаточной стоимости (Приложение 7).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Существенное влияние на экономическую эффективность инвестиционного проекта оказывает налоговая система. В инвестиционных расчётах по настоящему проекту приняты неизменные по годам реализации проекта ставки налогов равные ныне действующим. Заложенные в расчёты налоги и их ставки (Таблица 13).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ind w:firstLine="426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13.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ind w:firstLine="426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Налоги и ставки</w:t>
      </w:r>
    </w:p>
    <w:tbl>
      <w:tblPr>
        <w:tblW w:w="0" w:type="auto"/>
        <w:jc w:val="center"/>
        <w:tblLayout w:type="fixed"/>
        <w:tblLook w:val="0000"/>
      </w:tblPr>
      <w:tblGrid>
        <w:gridCol w:w="6654"/>
        <w:gridCol w:w="2126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365"/>
          <w:jc w:val="center"/>
        </w:trPr>
        <w:tc>
          <w:tcPr>
            <w:tcW w:w="6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Ставка, 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Налог на прибыль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НДС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Налоги с заработной платы (см. выше)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36%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Налог на пользователей автодорог (с выручки организации)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Акцизы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руб. 12 коп.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br/>
              <w:t>на 1 л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20" w:line="360" w:lineRule="auto"/>
        <w:ind w:firstLine="426"/>
        <w:rPr>
          <w:rFonts w:ascii="Times New Roman CYR" w:hAnsi="Times New Roman CYR" w:cs="Times New Roman CYR"/>
          <w:sz w:val="26"/>
          <w:szCs w:val="26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Так как на ОАО ПК "Витязь", как на переработчика сельско-хозяйственного сырья,  согласно законодательства РФ, распространяется льгота по налогу на имущество, налог на имущество компания не платит.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расчёты по инвестиционному проекту заложены также ежегодные выплаты дивидендов в размере 5% чистой прибыли.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Распределение прибыли, полученной при реализации инвестиционного проекта, приведено в “Отчёте о прибылях и убытках” (Приложение 9). Всего за период реализации инвестиционного проекта (01.01.2001 - 01.01.2008 гг.) планируется получить 2 363 млн. руб. нераспределенной прибыли.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2.6 Потребность в инвестициях и финансирование проекта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Для реализации первого этапа программы развития ОАО ПК “Витязь” - улучшения качественных характеристик пива без увеличения объемов производства и закрепления в новых для ОАО ПК “Витязь” сегментах рынка пива высокого качества, - в течение 2002 г. ОАО ПК “Витязь” необходимо провести следующие </w:t>
      </w:r>
      <w:r>
        <w:rPr>
          <w:rFonts w:ascii="Times New Roman CYR" w:hAnsi="Times New Roman CYR" w:cs="Times New Roman CYR"/>
          <w:b/>
          <w:bCs/>
          <w:i/>
          <w:iCs/>
        </w:rPr>
        <w:t>капитальные вложения</w:t>
      </w:r>
      <w:r>
        <w:rPr>
          <w:rFonts w:ascii="Times New Roman CYR" w:hAnsi="Times New Roman CYR" w:cs="Times New Roman CYR"/>
        </w:rPr>
        <w:t>: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 Установка высокопроизводительной новой линии розлива пива в стеклянную бутылку, отвечающей современным требованиям технологии розлива высококачественного пива производительностью 50 тыс.бут./час., производства фирмы KHS, Германия.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установке данной линии будут демонтированы две имеющиеся линии розлива пива (№2 и №3) производительностью по 24 тыс.бут./час.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Необходимость такой замены определяется физическим износом и моральным устареванием имеющегося оборудования, не отвечающего современным требованиям технологии розлива, отсутствием стерильности мойки бутылок и розлива пива, высокой трудоемкостью и энергозатратностью процесса розлива пива на имеющемся оборудовании.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Выбор поставщика был проведен на конкурсной основе. Рассматривались также предложения фирм  “Кронес” (Германия) и “Симонаци” (Италия).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Выбор в пользу KHS был сделан в соответствии с лучшими у KHS условиями по цене и качеству оборудования, а также лучшими условиями по финансированию поставляемого оборудования.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Компания KHS создана более 120 лет назад. На рынке России присутствовала с 1907 по 1914 гг. и затем с 1953 г. по сегодняшний день. Крупными клиентами в России сегодня являются Пивоваренная компания “Балтика”, Моспивкомбинат “Очаково”, “Ярпиво”, Bravo International (г. Санкт – Петербург), ОАО Патра (г. Екатеринбург), Клинский пивкомбинат (г. Клин), “Тульское пиво” (г. Тула), “Красный Восток” (г. Казань) и др.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Всего в Россию поставлено более 50 комплектов аналогичного оборудования. Оборот KHS за 2001 г. составил 749,5 млн. немецких марок.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связи с тем, что в июне-июле месяце (пик продаж) производственные мощности ОАО ПК “Витязь” целесообразно загружать на 100% и соответственно вести реконструкцию в этот период нерационально, то было принято решение о необходимости поставки и монтажа линии в два этапа: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А) Оборудование для мойки бутылок и упаковки бутылок с термоусадкой упаковочного материала – поставка до 03.06.2002 г., ввод в эксплуатацию до 05.08.2002 г.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В) Оборудование для розлива пива, укладки бутылок в ящики и укладки ящиков на палеты – поставка до 30.09.2002 г., ввод в эксплуатацию до 10.12.2002 г.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связи с принятым графиком монтажа и для обеспечения требований таможни и валютного контроля в договоре лизинга линия розлива также разбита на два объекта лизинга: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А) Оборудование для мойки бутылок и упаковки бутылок с термоусадкой упаковочного материала.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В) Оборудование для розлива пива, укладки бутылок в ящики и укладки ящиков на палеты.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2. Реконструкция отделения водоподготовки.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Необходимость осуществления такой реконструкции определяется несоответствием качества воды требованиям пивоварения. Проведение реконструкции позволит довести качество исходной воды до требований ГОСТа.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Поставщик – ЗАО “Центральная сбытовая компания”.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Выбор поставщика был проведен на конкурсной основе. Рассматривались также предложения фирм  “Живая вода” (г. Самара), “Национальные водные ресурсы” (г. Москва) и “Гелиос” (г. Москва).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Выбор в пользу ЗАО “Центральная сбытовая компания” был сделан в соответствии с лучшими качественными характеристиками предлагаемого этой компанией оборудования, приемлемой ценой, наличием значительного опыта в поставках аналогичного оборудования.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ЗАО “Центральная сбытовая компания” создана в 2000 г. Крупными клиентами являются ОАО “Якутскэнерго”, ГП “Нововоронежская АЭС”, Юкос-Сервис, ГП “Ростовская АЭС”, Селенгинский ЦКК.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Всего поставлено 12 комплектов аналогичного оборудования. Оборот ЗАО “Центральная сбытовая компания” за 2001 г. составил 35 млн. рублей.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соответствии с заключенным договором оборудование будет поставлено, смонтировано и сдано в эксплуатацию до 01.05.2002 г. Монтажные работы и ввод оборудования в эксплуатацию планируется провести в течение мая месяца текущего года.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3. Реконструкцию системы осушки воздуха в компрессорном отделении.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Необходимость осуществления такой реконструкции определяется отсутствием стерильности воздуха.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Поставщик – OOО “Фирма Полифильтр”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Выбор поставщика, как и в предыдущих случаях, был проведен на конкурсной основе. Рассматривались также предложения фирм  “Атлас копка” (г.Москва, представительство бельгийской фирмы) и “Далва консалтинг” (г.Москва, представительство немецкой фирмы).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Выбор в пользу OOО “Полифильтр” был сделан в соответствии с лучшим соотношением цены и качества у предлагаемого этой компанией оборудования и оперативностью поставки.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OOО “Полифильтр” создано в 1992 г. Крупными клиентами являются ЗАО МПБК “Очаково”, ОАО “Пикра” (г.Красноярск), ЗАО “Клинский пивкомбинат”, ОАО “Поволжье” (г.Волгоград) и др.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Всего поставлено более 20 комплектов аналогичного оборудования. </w:t>
      </w:r>
      <w:r>
        <w:rPr>
          <w:rFonts w:ascii="Times New Roman CYR" w:hAnsi="Times New Roman CYR" w:cs="Times New Roman CYR"/>
        </w:rPr>
        <w:lastRenderedPageBreak/>
        <w:t>Оборот OOО “Полифильтр” за 2001 г. составил 37 млн. рублей.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соответствии с заключенным договором оборудование будет поставлено до 01.05.2002 г.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Монтажные работы и ввод оборудования в эксплуатацию планируется провести в течение мая месяца текущего года.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целом, реализация данных этапов позволит улучшить качественные характеристики производимого пива до требований, предъявляемых к качественному пиву средней и дорогих ценовых ниш, в том числе увеличить стойкость пива до 6 месяцев и добиться стабильности вкусовых качеств пива.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Общая величина капитальных вложений по данным этапам – 152124 тыс. руб. (5532 тыс. ЕВРО) без учета возмещаемого НДС или 181609 тыс. руб. (6604 тыс. ЕВРО) включая возмещаемый НДС на поставляемое оборудование (Таблица 14).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Таблица 14.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left="-284" w:hanging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Капитальные вложения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94"/>
        <w:gridCol w:w="2976"/>
        <w:gridCol w:w="1134"/>
        <w:gridCol w:w="1560"/>
        <w:gridCol w:w="1275"/>
        <w:gridCol w:w="1194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1125"/>
          <w:jc w:val="center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Объект капитальных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вложений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Линия розлива пива производительностью 50 т.б./час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Реконструкция отделения водоподготовки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Реконструкция системы осушки воздуха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Итого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900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Фирма - поставщик, страна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KHS, Германия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Центральная сбытовая компания, 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Полифильтр, Россия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Валюта контракта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ЕВРО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Рубль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ЕВРО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Сумма контракта в валюте контракта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4 524 930,00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10 958 500,00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53 500,80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т.ч. весна 2002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2 248 657,00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10 958 500,00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53 500,80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осень 2002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2 276 273,00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Возмещаемый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1 826 416,67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8 916,80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67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Таможенная пошлина и таможенное оформление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459 280,40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т.ч. весна 2002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228 238,69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осень 2002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231 041,71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НДС при ввозе в Россию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996 842,08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т.ч. весна 2002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495 379,14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осень 2002 г.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501 462,94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Всего без собственных затрат на СМР (2-3+4)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4 984 210,40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9 132 083,33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44 584,00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Курс рубля к валюте контракта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27,50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Всего без собственных затрат на СМР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137 065 785,86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9 132 083,33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1 226 060,00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147 423 929,20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9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Собственные затраты на СМР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3 900 000,00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4 700 000,00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т.ч. весна 2002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2 750 000,00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осень 2002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1 950 000,00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67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Общая сумма капитальных вложений (8+9)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рублях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140 965 785,86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9 632 083,33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1 526 060,00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152 123 929,20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513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ЕВРО по курсу 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5 126 028,58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350 257,58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55 493,09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5 531 779,24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513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Общая сумма капитальных вложений + возмещаемый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рублях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168 378 943,04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11 458 500,00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1 771 272,00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181 608 715,04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221"/>
              <w:jc w:val="lef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ЕВРО по курсу 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6 122 870,66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416 672,73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64 409,89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6 603 953,27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Расчёты эффективности данного инвестиционного проекта составлены в рублях из расчета курса 27,5 руб. за 1 ЕВРО в первом полугодии 2002 г. и с учётом дальнейшего роста курса ЕВРО на 8% в год.</w:t>
      </w:r>
    </w:p>
    <w:p w:rsidR="00AA4F94" w:rsidRDefault="00AA4F94" w:rsidP="00AA4F94">
      <w:pPr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Инвестиции в оборотный капитал по проекту за 6 лет составляют – 209143 тыс. руб. Общая величина инвестиций по проекту составляет – 390752 тыс. руб.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</w:rPr>
        <w:t>Финансирование настоящего инвестиционного проекта</w:t>
      </w:r>
      <w:r>
        <w:rPr>
          <w:rFonts w:ascii="Times New Roman CYR" w:hAnsi="Times New Roman CYR" w:cs="Times New Roman CYR"/>
        </w:rPr>
        <w:t xml:space="preserve"> ОАО ПК “Витязь” планирует осуществить за счет привлечения к реализации проекта лизинговой компании NL NordLeas (Германия), привлечения кредитов </w:t>
      </w:r>
      <w:r>
        <w:rPr>
          <w:rFonts w:ascii="Times New Roman CYR" w:hAnsi="Times New Roman CYR" w:cs="Times New Roman CYR"/>
        </w:rPr>
        <w:lastRenderedPageBreak/>
        <w:t>Поволжского банка Сбербанка России, привлечения к реализации проекта лизинговой компании ООО “Волга-Машлизинг” и чистой прибыли ОАО ПК “Витязь”.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частности, приобретение новой линии розлива планируется произвести по договору лизинга с лизинговой компании NordLeas (Германия).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Договор предусматривает авансовый платеж в размере 15% от стоимости объекта лизинга (678,74 млн. ЕВРО); дополнительные авансовые платежи до последнего дня месяца, в котором должна произойти приёмка оборудования по ставке 10% годовых с суммы, которую лизинговая компания перечислит поставщику при отгрузке оборудования из Германии; а также фиксированный размер лизинговых платежей в месяц (89,325 млн. ЕВРО), начиная с даты приёмки оборудования.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Срок лизинга: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60 месяцев по оборудованию для мойки бутылок и упаковки бутылок с термоусадкой упаковочного материала (часть А), начиная с даты приёмки оборудования – сентябрь 2002 г.;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60 месяцев по оборудованию для розлива пива, укладки бутылок в ящики и укладки ящиков на палеты (часть В), начиная с даты приёмки  - январь 2003 г.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Периодичность платежей – 1 раз в месяц. График дополнительных авансовых платежей представлены (Таблицы 15, 16).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15.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График дополнительных авансовых платежей до даты приёмки оборудования  лизинговой компании NordLeas, ЕВРО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532"/>
        <w:gridCol w:w="1643"/>
        <w:gridCol w:w="1615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Часть А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Часть Б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Сумма второго транша (75%)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1 686 492,00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1 707 205,00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Ставка %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10,00%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10,00%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lef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lastRenderedPageBreak/>
              <w:t>Платежи: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Май 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3 696,42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Июнь02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13 861,58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Июль 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14 323,63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Август 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14 323,63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Сентябрь 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5 145,00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Октябрь 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14 499,55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Ноябрь 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14 031,82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Декабрь 02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14 499,55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16.</w:t>
      </w:r>
    </w:p>
    <w:p w:rsidR="00AA4F94" w:rsidRDefault="00AA4F94" w:rsidP="00AA4F94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График лизинговых платежей с лизинговой компанией NordLeas, ЕВРО, включая авансовый платёж, вознаграждение лизингодателя, </w:t>
      </w:r>
    </w:p>
    <w:p w:rsidR="00AA4F94" w:rsidRDefault="00AA4F94" w:rsidP="00AA4F94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дополнительные платежи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rPr>
          <w:rFonts w:ascii="Arial CYR" w:hAnsi="Arial CYR" w:cs="Arial CYR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729"/>
        <w:gridCol w:w="708"/>
        <w:gridCol w:w="709"/>
        <w:gridCol w:w="709"/>
        <w:gridCol w:w="709"/>
        <w:gridCol w:w="708"/>
        <w:gridCol w:w="709"/>
        <w:gridCol w:w="731"/>
        <w:gridCol w:w="648"/>
        <w:gridCol w:w="648"/>
        <w:gridCol w:w="648"/>
        <w:gridCol w:w="894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B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A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B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янв.02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янв.04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янв.06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фев.02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фев.04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фев.06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мар.02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мар.04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мар.06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апр.02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апр.04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апр.06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май.02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340995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341441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682436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май.04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май.06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июн.02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13862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июн.04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июн.06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июл.02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14324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14324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июл.04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июл.06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авг.02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14324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14324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авг.04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авг.06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сен.02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49535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сен.04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сен.06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окт.02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58890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окт.04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окт.06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ноя.02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14032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58422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ноя.04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ноя.06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Продолжение таблицы 16.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729"/>
        <w:gridCol w:w="708"/>
        <w:gridCol w:w="709"/>
        <w:gridCol w:w="709"/>
        <w:gridCol w:w="709"/>
        <w:gridCol w:w="708"/>
        <w:gridCol w:w="709"/>
        <w:gridCol w:w="731"/>
        <w:gridCol w:w="648"/>
        <w:gridCol w:w="648"/>
        <w:gridCol w:w="648"/>
        <w:gridCol w:w="1178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B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A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Часть B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дек.02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58890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дек.04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дек.06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янв.03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янв.05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янв.07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фев.03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фев.05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фев.07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мар.03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мар.05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мар.07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апр.03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апр.05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апр.07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май.03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май.05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май.07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июн.03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июн.05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июн.07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июл.03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июл.05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июл.07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авг.03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авг.05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авг.07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сен.03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сен.05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сен.07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44935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окт.03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окт.05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окт.07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44935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ноя.03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ноя.05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ноя.07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44935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дек.03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дек.05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89325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дек.07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44935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44935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rPr>
          <w:rFonts w:ascii="Arial CYR" w:hAnsi="Arial CYR" w:cs="Arial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Для авансового платежа ОАО ПК “Витязь” в мае 2002 г. был привлечен долгосрочный кредит в долларах США Поволжского банка Сбербанка России сроком на 4 года, с процентной ставкой 13% годовых, с отсрочкой погашения основной суммы на 1 год и ежемесячным перечислением процентов </w:t>
      </w:r>
      <w:r>
        <w:rPr>
          <w:rFonts w:ascii="Times New Roman CYR" w:hAnsi="Times New Roman CYR" w:cs="Times New Roman CYR"/>
        </w:rPr>
        <w:br/>
        <w:t>(Таблица 17).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  <w:rPr>
          <w:rFonts w:ascii="Arial CYR" w:hAnsi="Arial CYR" w:cs="Arial CYR"/>
        </w:rPr>
      </w:pPr>
      <w:r>
        <w:rPr>
          <w:rFonts w:ascii="Times New Roman CYR" w:hAnsi="Times New Roman CYR" w:cs="Times New Roman CYR"/>
        </w:rPr>
        <w:t>Таблица 17.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График платежей по долгосрочному кредиту Поволжского банка Сбербанка России, тыс. долларов США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88"/>
        <w:gridCol w:w="1224"/>
        <w:gridCol w:w="1529"/>
        <w:gridCol w:w="1701"/>
        <w:gridCol w:w="2410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Период платежа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Получение кредита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Возврат основной суммы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Долг на конец месяца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Проценты по кредиту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май.02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июн.02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июл.02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авг.02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сен.02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окт.02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ноя.02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дек.02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Продолжение  таблицы 17.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88"/>
        <w:gridCol w:w="1224"/>
        <w:gridCol w:w="1529"/>
        <w:gridCol w:w="1701"/>
        <w:gridCol w:w="2410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lastRenderedPageBreak/>
              <w:t>Период платежа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Получение кредита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Возврат основной суммы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Долг на конец месяца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Проценты по кредиту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янв.03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фев.03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мар.03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апр.03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май.03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июн.03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604,896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6,740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июл.03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587,613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6,553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авг.03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570,330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6,366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сен.03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553,047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6,179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окт.03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535,765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5,991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ноя.03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518,482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5,804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дек.03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501,199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5,617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янв.04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483,916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5,430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фев.04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466,634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5,242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мар.04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449,351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5,055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апр.04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432,068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4,868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май.04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414,786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4,681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июн.04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397,503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4,494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июл.04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380,220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4,306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авг.04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362,937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4,119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сен.04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345,655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3,932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окт.04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328,372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3,745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ноя.04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311,089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3,557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дек.04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293,806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3,370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янв.05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276,524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3,183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фев.05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259,241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2,996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мар.05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241,958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2,808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апр.05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224,676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2,621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май.05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207,393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2,434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июн.05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190,110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2,247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июл.05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172,827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2,060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авг.05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155,545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1,872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Продолжение таблицы 17.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88"/>
        <w:gridCol w:w="1224"/>
        <w:gridCol w:w="1529"/>
        <w:gridCol w:w="1701"/>
        <w:gridCol w:w="2410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Период платежа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Получение кредита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Возврат основной суммы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Долг на конец месяца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Проценты по кредиту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сен.05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138,262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1,685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окт.05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120,979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1,498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ноя.05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103,696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1,311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дек.05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86,414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1,123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янв.06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69,131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0,936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фев.06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51,848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0,749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мар.06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34,565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0,562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апр.06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0,374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май.06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17,283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0,187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199"/>
          <w:jc w:val="center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622,178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205,578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Расчёты эффективности данного инвестиционного проекта составлены в рублях из расчета курса 30,0 руб. за 1 доллар США в первом полугодии 2002 г. и с учётом дальнейшего роста курса доллара на 8% в год. В результате возникает курсовая разница в сумме 4 397 тыс. руб., учтённая в “Отчёте о прибылях и убытках”.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Кроме того, также в мае 2002 г., ОАО ПК “Витязь” был привлечен краткосрочный кредит Поволжского банка Сбербанка России сроком на 1 год ориентировочно под 23% годовых в сумме 19,5 млн. руб. для оплаты таможенных пошлин и НДС на таможне по части оборудования линии розлива, подлежащего монтажу в июне 2002 г. (Приложение 8.1).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Таможенные пошлины и НДС по оборудованию, подлежащего монтажу в октябре-декабре 2002 г., планируется оплатить за счет чистой прибыли ОАО </w:t>
      </w:r>
      <w:r>
        <w:rPr>
          <w:rFonts w:ascii="Times New Roman CYR" w:hAnsi="Times New Roman CYR" w:cs="Times New Roman CYR"/>
        </w:rPr>
        <w:lastRenderedPageBreak/>
        <w:t>ПК “Витязь” и средств, высвободившихся при возмещении из бюджета согласно налогового законодательства НДС, уплаченного на таможне по оборудованию, подлежащего монтажу в июне 2002 г.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Дополнительные (собственные) расходы по строительно-монтажным работам, связанным с монтажом линии розлива, в сумме 3,9 млн. руб. планируется осуществить за счет собственных средств компании.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Оборудование для реконструкции водоподготовки ОАО ПК “Витязь” запланировало приобрести по договору лизинга с лизинговой компанией ООО “Волга-Машлизинг”, созданной в 2001 г. и являющейся дочерней компанией ОАО “Машиностроительная компания “Машлизинг”.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ОАО “Машиностроительная компания “Машлизинг” создана в 1999 г. и имела в 2001 г. оборот в 190 млн. руб. Крупными клиентами ОАО “Машиностроительная компания “Машлизинг” являются ОАО “Мосэнерго”, РАО “Норильский Никель”, ОАО “Тюменская Нефтяная Компания”, ОАО “Нижнекамскшина”, ОАО “Рузхиммаш” и др.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Выбор лизинговой компании был проведен на основании анализа имевшихся коммерческих предложений в соответствии с лучшими условиями в отношении лизинговой ставки и порядка осуществления выплат по договору лизинга.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Договор лизинга с ООО “Волга-Машлизинг” предусматривает лизинговую ставку 24% годовых в рублях, аванс в размере 2739625 руб., срок лизинга 3 года при осуществлении основной части выплат в течение 2 лет. Аванс по договору лизинга оплачен за счет собственных средств ОАО ПК “Витязь”. График лизинговых платежей с лизинговой компанией  ООО «Волга-Машлизинг» (Таблица 18).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Дополнительные (собственные) расходы по строительно-монтажным работам, связанным с монтажом оборудования по водоподготовке, в сумме 500 тыс. руб. планируется осуществить также за счет собственных средств </w:t>
      </w:r>
      <w:r>
        <w:rPr>
          <w:rFonts w:ascii="Times New Roman CYR" w:hAnsi="Times New Roman CYR" w:cs="Times New Roman CYR"/>
        </w:rPr>
        <w:br/>
      </w:r>
      <w:r>
        <w:rPr>
          <w:rFonts w:ascii="Times New Roman CYR" w:hAnsi="Times New Roman CYR" w:cs="Times New Roman CYR"/>
        </w:rPr>
        <w:lastRenderedPageBreak/>
        <w:t>ОАО ПК “Витязь”.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18.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График лизинговых платежей с лизинговой компанией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</w:rPr>
        <w:t>ООО “Волга-Машлизинг”, руб.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74"/>
        <w:gridCol w:w="2268"/>
        <w:gridCol w:w="2165"/>
        <w:gridCol w:w="1701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Период платежа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Амортизационная составляющая</w:t>
            </w:r>
          </w:p>
        </w:tc>
        <w:tc>
          <w:tcPr>
            <w:tcW w:w="21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Вознаграждение лизингодателя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Лизинговый платеж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мар.02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2 739 625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2 739 625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Продолжение таблицы 18.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74"/>
        <w:gridCol w:w="2268"/>
        <w:gridCol w:w="2165"/>
        <w:gridCol w:w="1701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Период платежа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Амортизационная составляющая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Вознаграждение лизингодателя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Лизинговый платеж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июн.02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493 133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1 519 992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сен.02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431 521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1 458 380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дек.02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369 909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1 396 769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мар.03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308 298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1 335 157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июн.03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246 686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1 273 546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сен.03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185 075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1 211 934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дек.03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123 463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1 150 323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мар.04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1 026 859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62 815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1 089 675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июн.04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1 240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сен.04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1 180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дек.04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1 120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мар.05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1 060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17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10 958 500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2 221 500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13 180 000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rPr>
          <w:rFonts w:ascii="Arial CYR" w:hAnsi="Arial CYR" w:cs="Arial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Приобретение оборудования и строительно-монтажные работы, связанные с реконструкцией системы осушки воздуха, планируется произвести за счет собственных средств компании. Платежи, предусмотренные договором </w:t>
      </w:r>
      <w:r>
        <w:rPr>
          <w:rFonts w:ascii="Times New Roman CYR" w:hAnsi="Times New Roman CYR" w:cs="Times New Roman CYR"/>
        </w:rPr>
        <w:lastRenderedPageBreak/>
        <w:t>на поставку оборудования, уже проплачены полностью.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Общие вложения в оборотный капитал за период реализации проекта составляют 209 143 тыс. руб.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пополнения оборотных средств, связанного с подготовкой к летнему сезону продаж, ОАО ПК “Витязь” в январе 2002 г. получило кредит в сумме 1,6 млн. руб. на 6 месяцев в АКБ “Стабэк” (г. Ульяновск) и в апреле 2002г. - кредит в сумме 10 млн. руб. на 1 год в Поволжском банке СБ РФ.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Возврат заемных средств и выплата процентов по ним будут осуществлены также за счет прибыли ОАО ПК “Витязь”. Общая структура источников финансирования представлена (Таблица 19).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19.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Общая структура источников финансирования</w:t>
      </w:r>
    </w:p>
    <w:tbl>
      <w:tblPr>
        <w:tblW w:w="0" w:type="auto"/>
        <w:jc w:val="center"/>
        <w:tblLayout w:type="fixed"/>
        <w:tblLook w:val="0000"/>
      </w:tblPr>
      <w:tblGrid>
        <w:gridCol w:w="4503"/>
        <w:gridCol w:w="2976"/>
        <w:gridCol w:w="1570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498"/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Источник финансирования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Сумма, тыс. руб.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% от итога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NordLeas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105 770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27,1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Сбербанк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48 165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12,3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567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 т.ч. кредит на оплату таможенных пошлин и НДС на таможне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19 500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567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кредит на оплату аванса по линии розлива (в рублёвом эквиваленте)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18 665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left="567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кредит на пополнение оборотных средств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10 000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ООО “Волга-Машлизинг”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8 219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АКБ “Стабэк”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1 600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Собственные средства ОАО ПК “Витязь”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226 998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58,1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567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 т.ч. в оборотный капитал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197 543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567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на капвложения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29 455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390 752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100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rPr>
          <w:rFonts w:ascii="Arial CYR" w:hAnsi="Arial CYR" w:cs="Arial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 возмещении согласно действующего налогового законодательства НДС из бюджета по приобретаемому оборудованию расчетные вложения </w:t>
      </w:r>
      <w:r>
        <w:rPr>
          <w:rFonts w:ascii="Times New Roman CYR" w:hAnsi="Times New Roman CYR" w:cs="Times New Roman CYR"/>
        </w:rPr>
        <w:lastRenderedPageBreak/>
        <w:t xml:space="preserve">собственных средств сократятся до 209 160 тыс. руб. (Приложение 8).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jc w:val="center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2.6.1 Расчет финансового потока и сводный баланс движения </w:t>
      </w:r>
      <w:r>
        <w:rPr>
          <w:rFonts w:ascii="Times New Roman CYR" w:hAnsi="Times New Roman CYR" w:cs="Times New Roman CYR"/>
          <w:b/>
          <w:bCs/>
        </w:rPr>
        <w:br/>
        <w:t>имущества и капитала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Исходя из сложившейся у компании оборачиваемости различных статей активов и пассивов (запасов сырья и материалов – 200 дня, незавершенного производства 45 дней, готовой продукции 6 дней, дебиторской задолженности – 15 дней, авансов поставщикам – 20 дней, кредиторской задолженности – 30 дней и т.д.) и намеченных изменений в ассортименте выпускаемой продукции за период реализации проекта чистый оборотный капитал компании должен вырасти на 209 143 тыс. руб. (Приложение 6). Этот рост планируется в первом полугодии 2002 г. профинансировать за счет краткосрочных кредитов, а в последующие периоды – за счет чистой прибыли компании. Длительная оборачиваемость запасов сырья и материалов и незавершенного производства определяется сезонным характером закупок сырья и спецификой пивоваренного производства (наличием в нем биохимических процессов).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Чистый приток денежных средств за время реализации проекта составит 2 256 700 тыс. руб. Расчет потоков денежных средств выполнен двумя разными способами (Приложение 10, 11). Получаемые деньги планируется направить на дальнейшую реконструкцию и развитие предприятия.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Валюта баланса за время реализации проекта возрастет с 277 млн. руб. до 2 639 млн. руб. (Приложение 12).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 реализации проекта мы рассчитываем на достижение </w:t>
      </w:r>
      <w:r>
        <w:rPr>
          <w:rFonts w:ascii="Times New Roman CYR" w:hAnsi="Times New Roman CYR" w:cs="Times New Roman CYR"/>
          <w:b/>
          <w:bCs/>
          <w:i/>
          <w:iCs/>
        </w:rPr>
        <w:t>хороших финансовых показателей</w:t>
      </w:r>
      <w:r>
        <w:rPr>
          <w:rFonts w:ascii="Times New Roman CYR" w:hAnsi="Times New Roman CYR" w:cs="Times New Roman CYR"/>
        </w:rPr>
        <w:t xml:space="preserve"> и соблюдение всех нормативов финансовой устойчивости.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Так оборачиваемость активов по сделанным расчетам не будет снижаться ниже 0,3, коэффициент общей ликвидности будет не ниже 1,6.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В отношении показателя мгновенной ликвидности, мы считаем допустимым в случае ОАО ПК “Витязь” наличие данного показателя в размере ниже 0,1, так как ОАО ПК “Витязь” работает на рынке продовольственных товаров (выручка носит постоянный характер и поступает каждый день) и у компании имеется отлаженная система финансового планирования. Соответственно допустимыми являются остатки денежных средств в размере дневной выручки.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Некоторое снижение рентабельности продаж и активов в начале реализации проекта будет компенсировано их ростом в ходе осуществления запланированных мероприятий. Однако и в начале реализации проекта эти показатели также удовлетворительны: прибыльность продаж-4%, рентабельность активов-7%, рентабельность собственного капитала-11% (Приложение 13). Снижение показателей рентабельности на первом этапе реализации проекта определяется достаточно высоким удельным весом лизинговых платежей в структуре затрат компании.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Показатели эффективности проекта: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Без учета внешнего финансирования (дисконтирование проведено по ставке 25%):</w:t>
      </w:r>
    </w:p>
    <w:tbl>
      <w:tblPr>
        <w:tblW w:w="0" w:type="auto"/>
        <w:tblInd w:w="108" w:type="dxa"/>
        <w:tblLayout w:type="fixed"/>
        <w:tblLook w:val="0000"/>
      </w:tblPr>
      <w:tblGrid>
        <w:gridCol w:w="6804"/>
        <w:gridCol w:w="2410"/>
      </w:tblGrid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Простой срок окупаемости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1,7 года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Дисконтированный срок окупаемости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2,0 лет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Чистый дисконтированный доход (NPV)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846863 тыс. руб.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Внутренняя норма доходности (IRR)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94,4%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учетом кредитования (дисконтирование проведено по ставке 25%):</w:t>
      </w:r>
    </w:p>
    <w:tbl>
      <w:tblPr>
        <w:tblW w:w="0" w:type="auto"/>
        <w:tblInd w:w="108" w:type="dxa"/>
        <w:tblLayout w:type="fixed"/>
        <w:tblLook w:val="0000"/>
      </w:tblPr>
      <w:tblGrid>
        <w:gridCol w:w="6804"/>
        <w:gridCol w:w="2410"/>
      </w:tblGrid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Простой срок окупаемости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1,9 года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Дисконтированный срок окупаемости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2,2 года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Чистый дисконтированный доход (NPV)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791959 тыс. руб.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Внутренняя норма доходности (IRR)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87,8%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При расчете чистого дисконтированного дохода в учет взяты (в качестве затрат на нулевом периоде) чистые активы ОАО ПК “Витязь” на 01.01.2002 г. (Приложение 14).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Проведенный анализ показал, что проект обладает высокой финансовой устойчивостью и имеет прочный запас по всем основным рискам: риску невыполнения плановых показателей по объемам производства, риску снижения цен на выпускаемую продукцию и риску опережающего роста операционных затрат.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частности, сохраняет высокую привлекательность при 30% снижении объемов выпускаемой продукции (предельное значение – 50%), 20% снижении цен (предельное значение – падение цен на 30%) и 30% опережающем повышение операционных затрат (предельное значение – 55%).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Предельным значением ставки дисконтирования является ставка в 90% (Таблица 20).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Так как лизинговые платежи в значительной степени распределены на длительный период времени и таким образом имеют относительно небольшую долю в расходах каждого отдельного периода, проект обладает также очень вы-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20.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Анализ чувствительности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72"/>
        <w:gridCol w:w="732"/>
        <w:gridCol w:w="732"/>
        <w:gridCol w:w="732"/>
        <w:gridCol w:w="732"/>
        <w:gridCol w:w="732"/>
        <w:gridCol w:w="732"/>
      </w:tblGrid>
      <w:tr w:rsidR="00AA4F94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Анализ чувствительности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Шаг изменения ставки сравнения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20%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Ставка сравнения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25%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5%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85%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Чистый дисконтированный доход проекта,  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NPV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846863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1996795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846863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374067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152004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35692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Шаг изменения уровней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20%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Уровень объема производства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100%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70%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110%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150%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Чистый дисконтированный доход проекта,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NPV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lastRenderedPageBreak/>
              <w:t>846863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359088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686425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1007252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1328028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1648805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Уровень цен на продукцию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100%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110%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150%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Чистый дисконтированный доход проекта,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NPV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846863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60114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587619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1103121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1615638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2128154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Уровень операционных затрат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7F00"/>
                <w:sz w:val="20"/>
                <w:szCs w:val="20"/>
              </w:rPr>
              <w:t>100%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110%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130%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150%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Чистый дисконтированный доход проекта, </w:t>
            </w:r>
          </w:p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ind w:firstLine="192"/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NPV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846863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1246694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980824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711735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435755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156926</w:t>
            </w:r>
          </w:p>
        </w:tc>
      </w:tr>
    </w:tbl>
    <w:p w:rsidR="00AA4F94" w:rsidRDefault="00AA4F94" w:rsidP="00AA4F94">
      <w:pPr>
        <w:widowControl w:val="0"/>
        <w:autoSpaceDE w:val="0"/>
        <w:autoSpaceDN w:val="0"/>
        <w:adjustRightInd w:val="0"/>
        <w:spacing w:before="100" w:after="100"/>
        <w:ind w:firstLine="567"/>
        <w:rPr>
          <w:rFonts w:ascii="Arial CYR" w:hAnsi="Arial CYR" w:cs="Arial CYR"/>
          <w:sz w:val="20"/>
          <w:szCs w:val="20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соким запасом прочности в отношении возможного резкого роста ЕВРО или доллара США относительно рубля. Это особенно важно в свете того, что ОАО ПК “Витязь” не имеет источника экспортной выручки. Предельное значение роста курса ЕВРО или доллара США, при котором проект может быть реализован, - более 100% в год.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425"/>
        <w:rPr>
          <w:rFonts w:ascii="Times New Roman CYR" w:hAnsi="Times New Roman CYR" w:cs="Times New Roman CYR"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</w:rPr>
        <w:br w:type="page"/>
      </w: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Заключение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before="180" w:line="360" w:lineRule="auto"/>
        <w:ind w:left="40"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всем многообразии форм бизнеса существуют основы, обязательные практически для всех областей коммерческой дея</w:t>
      </w:r>
      <w:r>
        <w:rPr>
          <w:rFonts w:ascii="Times New Roman CYR" w:hAnsi="Times New Roman CYR" w:cs="Times New Roman CYR"/>
        </w:rPr>
        <w:softHyphen/>
        <w:t>тельности, для разных предприятий и организаций, опора на ко</w:t>
      </w:r>
      <w:r>
        <w:rPr>
          <w:rFonts w:ascii="Times New Roman CYR" w:hAnsi="Times New Roman CYR" w:cs="Times New Roman CYR"/>
        </w:rPr>
        <w:softHyphen/>
        <w:t>торые необходима для того, чтобы своевременно подготовиться к возможным неожиданностям и устранить потенциальные труднос</w:t>
      </w:r>
      <w:r>
        <w:rPr>
          <w:rFonts w:ascii="Times New Roman CYR" w:hAnsi="Times New Roman CYR" w:cs="Times New Roman CYR"/>
        </w:rPr>
        <w:softHyphen/>
        <w:t>ти, опасности и тем самым уменьшить риск в достижении постав</w:t>
      </w:r>
      <w:r>
        <w:rPr>
          <w:rFonts w:ascii="Times New Roman CYR" w:hAnsi="Times New Roman CYR" w:cs="Times New Roman CYR"/>
        </w:rPr>
        <w:softHyphen/>
        <w:t>ленных целей. Планомерная разработка стратегии и тактики про</w:t>
      </w:r>
      <w:r>
        <w:rPr>
          <w:rFonts w:ascii="Times New Roman CYR" w:hAnsi="Times New Roman CYR" w:cs="Times New Roman CYR"/>
        </w:rPr>
        <w:softHyphen/>
        <w:t>изводственно-хозяйственной деятельности предприятия является важнейшей задачей для любого бизнеса.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left="40"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рыночной экономике бизнес-план является исключительно эффективным рабочим инструментом как для вновь создаваемых, так и для действующих компаний во всех сферах предпринима</w:t>
      </w:r>
      <w:r>
        <w:rPr>
          <w:rFonts w:ascii="Times New Roman CYR" w:hAnsi="Times New Roman CYR" w:cs="Times New Roman CYR"/>
        </w:rPr>
        <w:softHyphen/>
        <w:t>тельства. Бизнес-план побуждает менеджера тщательно изучить каждый элемент предполагаемого рискового рыночного мероприя</w:t>
      </w:r>
      <w:r>
        <w:rPr>
          <w:rFonts w:ascii="Times New Roman CYR" w:hAnsi="Times New Roman CYR" w:cs="Times New Roman CYR"/>
        </w:rPr>
        <w:softHyphen/>
        <w:t>тия. Практически всегда в этом процессе обнаружится немало сла</w:t>
      </w:r>
      <w:r>
        <w:rPr>
          <w:rFonts w:ascii="Times New Roman CYR" w:hAnsi="Times New Roman CYR" w:cs="Times New Roman CYR"/>
        </w:rPr>
        <w:softHyphen/>
        <w:t>бых мест и пробелов, устранению которых нельзя не уделить внимания.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left="40"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Цель разработки бизнес-плана — спланировать хозяйственную деятельность фирмы на ближайший и отдаленные периоды в соот</w:t>
      </w:r>
      <w:r>
        <w:rPr>
          <w:rFonts w:ascii="Times New Roman CYR" w:hAnsi="Times New Roman CYR" w:cs="Times New Roman CYR"/>
        </w:rPr>
        <w:softHyphen/>
        <w:t>ветствии с потребностями рынка и наличием необходимых ресур</w:t>
      </w:r>
      <w:r>
        <w:rPr>
          <w:rFonts w:ascii="Times New Roman CYR" w:hAnsi="Times New Roman CYR" w:cs="Times New Roman CYR"/>
        </w:rPr>
        <w:softHyphen/>
        <w:t xml:space="preserve">сов. Бизнес-план помогает менеджеру решать следующие основные проблемы: 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определить конкретные направления деятельности пред</w:t>
      </w:r>
      <w:r>
        <w:rPr>
          <w:rFonts w:ascii="Times New Roman CYR" w:hAnsi="Times New Roman CYR" w:cs="Times New Roman CYR"/>
        </w:rPr>
        <w:softHyphen/>
        <w:t>приятия, его целевые рынки и место на этих рынках;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сформулировать долговременные и краткосрочные цели бизнеса, стратегию и тактику их достижения, а также определить круг лиц, ответственных за реализацию намеченного;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зафиксировать состав и показатели товаров и услуг, кото</w:t>
      </w:r>
      <w:r>
        <w:rPr>
          <w:rFonts w:ascii="Times New Roman CYR" w:hAnsi="Times New Roman CYR" w:cs="Times New Roman CYR"/>
        </w:rPr>
        <w:softHyphen/>
        <w:t xml:space="preserve">рые будут предложены потребителям, оценить соответствующие производственные и </w:t>
      </w:r>
      <w:r>
        <w:rPr>
          <w:rFonts w:ascii="Times New Roman CYR" w:hAnsi="Times New Roman CYR" w:cs="Times New Roman CYR"/>
        </w:rPr>
        <w:lastRenderedPageBreak/>
        <w:t>торговые издержки;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выявить соответствие имеющегося персонала предприятия и условий в мотивации его труда предъявляемым требованиям;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определить систему маркетинговых мероприятий по иссле</w:t>
      </w:r>
      <w:r>
        <w:rPr>
          <w:rFonts w:ascii="Times New Roman CYR" w:hAnsi="Times New Roman CYR" w:cs="Times New Roman CYR"/>
        </w:rPr>
        <w:softHyphen/>
        <w:t>дованию рынка, рекламе, стимулированию продаж, ценообразова</w:t>
      </w:r>
      <w:r>
        <w:rPr>
          <w:rFonts w:ascii="Times New Roman CYR" w:hAnsi="Times New Roman CYR" w:cs="Times New Roman CYR"/>
        </w:rPr>
        <w:softHyphen/>
        <w:t>нию, каналам сбыта и др.;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оптимизировать организующую структуру управления;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оценить финансовое положение предприятия и соответствие имеющихся финансовых и материальных ресурсов, возможности достижения поставленных целей;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выявить те трудности, которые способны помешать выпол</w:t>
      </w:r>
      <w:r>
        <w:rPr>
          <w:rFonts w:ascii="Times New Roman CYR" w:hAnsi="Times New Roman CYR" w:cs="Times New Roman CYR"/>
        </w:rPr>
        <w:softHyphen/>
        <w:t>нению бизнес-плана, и наметить меры по их устранению.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Планирование бизнеса обеспечивает немало выгод. Оно, в частности: 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побуждает менеджмент тщательно изучить перспективы развития бизнеса;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позволяет обеспечить четкую координацию всех усилий по достижению поставленных целей;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определяет ключевые показатели бизнеса, необходимые для последующей оценки и контроля результатов;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заставляет руководителей точно определить цели бизнеса и пути их достижения;</w:t>
      </w:r>
    </w:p>
    <w:p w:rsidR="00AA4F94" w:rsidRDefault="00AA4F94" w:rsidP="00AA4F9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>
        <w:rPr>
          <w:rFonts w:ascii="Times New Roman CYR" w:hAnsi="Times New Roman CYR" w:cs="Times New Roman CYR"/>
        </w:rPr>
        <w:tab/>
        <w:t>делает предприятие намного более подготовленным к вне</w:t>
      </w:r>
      <w:r>
        <w:rPr>
          <w:rFonts w:ascii="Times New Roman CYR" w:hAnsi="Times New Roman CYR" w:cs="Times New Roman CYR"/>
        </w:rPr>
        <w:softHyphen/>
        <w:t>запным изменениям рыночной ситуации.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Тщательно подготовленный и составленный план бизнеса открывает перспективу его развития, то есть отвечает на самый важный вопрос: стоит ли вкладывать силы и средства в это дело, принесет ли оно такую прибыль, которая окупит все затраты.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зависимости от направленности и масштабов задуманного, объем работ </w:t>
      </w:r>
      <w:r>
        <w:rPr>
          <w:rFonts w:ascii="Times New Roman CYR" w:hAnsi="Times New Roman CYR" w:cs="Times New Roman CYR"/>
        </w:rPr>
        <w:lastRenderedPageBreak/>
        <w:t>по формированию плана способен изменять  в большом диапазоне, степень его детализации весьма различна. Когда в плане требуется менее объемная проработка, часть разде</w:t>
      </w:r>
      <w:r>
        <w:rPr>
          <w:rFonts w:ascii="Times New Roman CYR" w:hAnsi="Times New Roman CYR" w:cs="Times New Roman CYR"/>
        </w:rPr>
        <w:softHyphen/>
        <w:t>лов может вообще отсутствовать. Когда же план предстоит разра</w:t>
      </w:r>
      <w:r>
        <w:rPr>
          <w:rFonts w:ascii="Times New Roman CYR" w:hAnsi="Times New Roman CYR" w:cs="Times New Roman CYR"/>
        </w:rPr>
        <w:softHyphen/>
        <w:t>батывать в полном объеме, проводя для этого трудоемкие и слож</w:t>
      </w:r>
      <w:r>
        <w:rPr>
          <w:rFonts w:ascii="Times New Roman CYR" w:hAnsi="Times New Roman CYR" w:cs="Times New Roman CYR"/>
        </w:rPr>
        <w:softHyphen/>
        <w:t>ные маркетинговые исследования, он должен быть полнокровен.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1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Бизнес-план стал принципиально новым для российской эко</w:t>
      </w:r>
      <w:r>
        <w:rPr>
          <w:rFonts w:ascii="Times New Roman CYR" w:hAnsi="Times New Roman CYR" w:cs="Times New Roman CYR"/>
        </w:rPr>
        <w:softHyphen/>
        <w:t>номики документом. Основной целью его разработки выступает планирование хозяй-ственной деятельности предприятия на бли</w:t>
      </w:r>
      <w:r>
        <w:rPr>
          <w:rFonts w:ascii="Times New Roman CYR" w:hAnsi="Times New Roman CYR" w:cs="Times New Roman CYR"/>
        </w:rPr>
        <w:softHyphen/>
        <w:t xml:space="preserve">жайший и отдаленные периоды в соответствии с потребностями рынка и возможностями приобретения необхо-димых ресурсов. 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современной практике бизнес-план призван выполнять че</w:t>
      </w:r>
      <w:r>
        <w:rPr>
          <w:rFonts w:ascii="Times New Roman CYR" w:hAnsi="Times New Roman CYR" w:cs="Times New Roman CYR"/>
        </w:rPr>
        <w:softHyphen/>
        <w:t xml:space="preserve">тыре функции.  </w:t>
      </w:r>
      <w:r>
        <w:rPr>
          <w:rFonts w:ascii="Times New Roman CYR" w:hAnsi="Times New Roman CYR" w:cs="Times New Roman CYR"/>
          <w:i/>
          <w:iCs/>
        </w:rPr>
        <w:t xml:space="preserve">Первая – </w:t>
      </w:r>
      <w:r>
        <w:rPr>
          <w:rFonts w:ascii="Times New Roman CYR" w:hAnsi="Times New Roman CYR" w:cs="Times New Roman CYR"/>
        </w:rPr>
        <w:t>использование его для разработки стра</w:t>
      </w:r>
      <w:r>
        <w:rPr>
          <w:rFonts w:ascii="Times New Roman CYR" w:hAnsi="Times New Roman CYR" w:cs="Times New Roman CYR"/>
        </w:rPr>
        <w:softHyphen/>
        <w:t xml:space="preserve">тегии и тактики бизнеса.  </w:t>
      </w:r>
      <w:r>
        <w:rPr>
          <w:rFonts w:ascii="Times New Roman CYR" w:hAnsi="Times New Roman CYR" w:cs="Times New Roman CYR"/>
          <w:i/>
          <w:iCs/>
        </w:rPr>
        <w:t xml:space="preserve">Вторая – </w:t>
      </w:r>
      <w:r>
        <w:rPr>
          <w:rFonts w:ascii="Times New Roman CYR" w:hAnsi="Times New Roman CYR" w:cs="Times New Roman CYR"/>
        </w:rPr>
        <w:t>формирование и реализация плановых программ, позво-ляющих оценить потенциал развития нового на</w:t>
      </w:r>
      <w:r>
        <w:rPr>
          <w:rFonts w:ascii="Times New Roman CYR" w:hAnsi="Times New Roman CYR" w:cs="Times New Roman CYR"/>
        </w:rPr>
        <w:softHyphen/>
        <w:t xml:space="preserve">правления деятельности, конт-ролировать процессы, протекающие в рамках бизнеса. </w:t>
      </w:r>
      <w:r>
        <w:rPr>
          <w:rFonts w:ascii="Times New Roman CYR" w:hAnsi="Times New Roman CYR" w:cs="Times New Roman CYR"/>
          <w:i/>
          <w:iCs/>
        </w:rPr>
        <w:t xml:space="preserve">Третья – </w:t>
      </w:r>
      <w:r>
        <w:rPr>
          <w:rFonts w:ascii="Times New Roman CYR" w:hAnsi="Times New Roman CYR" w:cs="Times New Roman CYR"/>
        </w:rPr>
        <w:t xml:space="preserve">привлечение извне денежных средств для целей развития, реинжиниринга бизнеса. </w:t>
      </w:r>
      <w:r>
        <w:rPr>
          <w:rFonts w:ascii="Times New Roman CYR" w:hAnsi="Times New Roman CYR" w:cs="Times New Roman CYR"/>
          <w:i/>
          <w:iCs/>
        </w:rPr>
        <w:t xml:space="preserve">Четвертая – </w:t>
      </w:r>
      <w:r>
        <w:rPr>
          <w:rFonts w:ascii="Times New Roman CYR" w:hAnsi="Times New Roman CYR" w:cs="Times New Roman CYR"/>
        </w:rPr>
        <w:t>при</w:t>
      </w:r>
      <w:r>
        <w:rPr>
          <w:rFonts w:ascii="Times New Roman CYR" w:hAnsi="Times New Roman CYR" w:cs="Times New Roman CYR"/>
        </w:rPr>
        <w:softHyphen/>
        <w:t>влечение к реализации планов бизнеса партнеров, которые спо</w:t>
      </w:r>
      <w:r>
        <w:rPr>
          <w:rFonts w:ascii="Times New Roman CYR" w:hAnsi="Times New Roman CYR" w:cs="Times New Roman CYR"/>
        </w:rPr>
        <w:softHyphen/>
        <w:t>собны вложить в него собственный капитал или имеющуюся у них технологию.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Бизнес-план обеспечивает анализ возможностей для бизнеса в конкретной ситуации и четкое представление, каким образом ме</w:t>
      </w:r>
      <w:r>
        <w:rPr>
          <w:rFonts w:ascii="Times New Roman CYR" w:hAnsi="Times New Roman CYR" w:cs="Times New Roman CYR"/>
        </w:rPr>
        <w:softHyphen/>
        <w:t>неджмент хочет и может использовать данный потенциал.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плане оценивается перспективная ситуация как внутри ор</w:t>
      </w:r>
      <w:r>
        <w:rPr>
          <w:rFonts w:ascii="Times New Roman CYR" w:hAnsi="Times New Roman CYR" w:cs="Times New Roman CYR"/>
        </w:rPr>
        <w:softHyphen/>
        <w:t>ганизации, так и вне ее. Он объективно необходим руководству организации для ориентации в условиях акционерной собственнос</w:t>
      </w:r>
      <w:r>
        <w:rPr>
          <w:rFonts w:ascii="Times New Roman CYR" w:hAnsi="Times New Roman CYR" w:cs="Times New Roman CYR"/>
        </w:rPr>
        <w:softHyphen/>
        <w:t>ти, поскольку именно при помощи бизнес-плана управляющие принимают решение об эмиссии акций и использовании эмиссион</w:t>
      </w:r>
      <w:r>
        <w:rPr>
          <w:rFonts w:ascii="Times New Roman CYR" w:hAnsi="Times New Roman CYR" w:cs="Times New Roman CYR"/>
        </w:rPr>
        <w:softHyphen/>
        <w:t>ного дохода. Бизнес-план используется и при обосновании меро</w:t>
      </w:r>
      <w:r>
        <w:rPr>
          <w:rFonts w:ascii="Times New Roman CYR" w:hAnsi="Times New Roman CYR" w:cs="Times New Roman CYR"/>
        </w:rPr>
        <w:softHyphen/>
        <w:t xml:space="preserve">приятий по совершенствованию и развитию организационной </w:t>
      </w:r>
      <w:r>
        <w:rPr>
          <w:rFonts w:ascii="Times New Roman CYR" w:hAnsi="Times New Roman CYR" w:cs="Times New Roman CYR"/>
        </w:rPr>
        <w:lastRenderedPageBreak/>
        <w:t>структуры фирмы, в частности, для обоснования уровня центра</w:t>
      </w:r>
      <w:r>
        <w:rPr>
          <w:rFonts w:ascii="Times New Roman CYR" w:hAnsi="Times New Roman CYR" w:cs="Times New Roman CYR"/>
        </w:rPr>
        <w:softHyphen/>
        <w:t>лизации управления и ответственности сотрудников. Данный план помогает и координации деятельности партнеров, связанных коо</w:t>
      </w:r>
      <w:r>
        <w:rPr>
          <w:rFonts w:ascii="Times New Roman CYR" w:hAnsi="Times New Roman CYR" w:cs="Times New Roman CYR"/>
        </w:rPr>
        <w:softHyphen/>
        <w:t>перированием и изготовлением одинаковых и взаимодополняющих продуктов.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Но не следует рассматривать уже составленный бизнес-план как образец. В условиях нашей экономики может быть потеряна актуальность конкретной разработки в силу использования жестко зафиксированных параметров, утративших свою информатив</w:t>
      </w:r>
      <w:r>
        <w:rPr>
          <w:rFonts w:ascii="Times New Roman CYR" w:hAnsi="Times New Roman CYR" w:cs="Times New Roman CYR"/>
        </w:rPr>
        <w:softHyphen/>
        <w:t>ность. Бизнес-планирование позволяет готовить новые варианты поведения бизнеса на основе проанализированных сценариев. При этом бизнес-план открывает возможность отслеживать ситуацию за любой промежуток времени.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Приведённый во второй главе данной работы бизнес-план ОАО ПК "Витязь" показывает, что  проект реконструкции и модернизации производства является эффективным как с точки зрения достигаемых финансовых показателей, так и с точки зрения стратегических перспектив Компании. В частности простой срок окупаемости (с учетом кредитования) составляет – 1,9 лет, дисконтированный срок окупаемости – 2,2 года, чистый дисконтированный доход – 792 млн. руб. (исходя из ставки дисконтирования 25% годовых).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реализации проекта мы рассчитываем на достижение хороших финансовых показателей и соблюдение всех нормативов финансовой устойчивости.</w:t>
      </w: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85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Проведенный анализ показал, что проект обладает высокой финансовой устойчивостью и имеет прочный запас по всем основным рискам: риску невыполнения плановых показателей по объемам производства, риску снижения цен на выпускаемую продукцию и риску опережающего роста операционных затрат.</w:t>
      </w: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widowControl w:val="0"/>
        <w:autoSpaceDE w:val="0"/>
        <w:autoSpaceDN w:val="0"/>
        <w:adjustRightInd w:val="0"/>
        <w:spacing w:line="360" w:lineRule="auto"/>
        <w:ind w:firstLine="400"/>
        <w:rPr>
          <w:rFonts w:ascii="Times New Roman CYR" w:hAnsi="Times New Roman CYR" w:cs="Times New Roman CYR"/>
          <w:b/>
          <w:bCs/>
        </w:rPr>
      </w:pPr>
    </w:p>
    <w:p w:rsidR="00AA4F94" w:rsidRDefault="00AA4F94" w:rsidP="00AA4F94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</w:rPr>
        <w:br w:type="page"/>
      </w: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Список использованной литературы</w:t>
      </w:r>
    </w:p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12" w:lineRule="auto"/>
        <w:ind w:firstLine="400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284" w:type="dxa"/>
        <w:tblLayout w:type="fixed"/>
        <w:tblLook w:val="0000"/>
      </w:tblPr>
      <w:tblGrid>
        <w:gridCol w:w="9287"/>
      </w:tblGrid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1.</w:t>
            </w:r>
            <w:r>
              <w:rPr>
                <w:rFonts w:ascii="Times New Roman CYR" w:hAnsi="Times New Roman CYR" w:cs="Times New Roman CYR"/>
                <w:color w:val="000000"/>
              </w:rPr>
              <w:tab/>
            </w:r>
            <w:r>
              <w:rPr>
                <w:rFonts w:ascii="Times New Roman CYR" w:hAnsi="Times New Roman CYR" w:cs="Times New Roman CYR"/>
              </w:rPr>
              <w:t>Методические рекомендации по оценке эффективности инвестиционных проектов и их отбору для финансирования (утверждено Госстрой России, Министерством экономики РФ, Министерством финансов РФ, Госкомпром России от 31.03.1994 N 7-12/47)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2.</w:t>
            </w:r>
            <w:r>
              <w:rPr>
                <w:rFonts w:ascii="Times New Roman CYR" w:hAnsi="Times New Roman CYR" w:cs="Times New Roman CYR"/>
                <w:color w:val="000000"/>
              </w:rPr>
              <w:tab/>
            </w:r>
            <w:r>
              <w:rPr>
                <w:rFonts w:ascii="Times New Roman CYR" w:hAnsi="Times New Roman CYR" w:cs="Times New Roman CYR"/>
              </w:rPr>
              <w:t>Методические рекомендации по оценке эффективности инвестиционных проектов (утверждены Министерством экономики РФ, Министерством финансов РФ, Государственным комитетом РФ по строительной, архитектурной и жилищной политике 21.06.1999 N ВК 477)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</w:t>
            </w:r>
            <w:r>
              <w:rPr>
                <w:rFonts w:ascii="Times New Roman CYR" w:hAnsi="Times New Roman CYR" w:cs="Times New Roman CYR"/>
              </w:rPr>
              <w:tab/>
              <w:t>Алексеева М.М. Планирование деятельности фирмы – М.: Финансы и статистика, 2001г.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4.</w:t>
            </w:r>
            <w:r>
              <w:rPr>
                <w:rFonts w:ascii="Times New Roman CYR" w:hAnsi="Times New Roman CYR" w:cs="Times New Roman CYR"/>
              </w:rPr>
              <w:tab/>
              <w:t>Беа Ф.К., Дихтл Э., Швайтцер М. Экономика предприятия. – М.: Инфра-М, 1999г.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5.</w:t>
            </w:r>
            <w:r>
              <w:rPr>
                <w:rFonts w:ascii="Times New Roman CYR" w:hAnsi="Times New Roman CYR" w:cs="Times New Roman CYR"/>
              </w:rPr>
              <w:tab/>
              <w:t>Бизнес-планирование./Под ред. В.М. Попова, С.И. Ляпунова – М.: Финансы и статистика, 2000г.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6.</w:t>
            </w:r>
            <w:r>
              <w:rPr>
                <w:rFonts w:ascii="Times New Roman CYR" w:hAnsi="Times New Roman CYR" w:cs="Times New Roman CYR"/>
              </w:rPr>
              <w:tab/>
              <w:t>Веретенникова О.Б. Финансы предприятий: Учебное пособие – Екатеринбург: Из-во УрГЭУ, 2000г.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7.</w:t>
            </w:r>
            <w:r>
              <w:rPr>
                <w:rFonts w:ascii="Times New Roman CYR" w:hAnsi="Times New Roman CYR" w:cs="Times New Roman CYR"/>
              </w:rPr>
              <w:tab/>
              <w:t xml:space="preserve">Деловое планирование (Методы. Организация. Современная практика): Учеб. Пособие/Под ред. В.М. Попова. – М.: Финансы и статистика, 1997.  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8.</w:t>
            </w:r>
            <w:r>
              <w:rPr>
                <w:rFonts w:ascii="Times New Roman CYR" w:hAnsi="Times New Roman CYR" w:cs="Times New Roman CYR"/>
              </w:rPr>
              <w:tab/>
              <w:t xml:space="preserve">Жаров И. Бизнес-план и средства его создания/Корпоративный менеджмент. Электронное издание – </w:t>
            </w:r>
            <w:r>
              <w:rPr>
                <w:rFonts w:ascii="Times New Roman CYR" w:hAnsi="Times New Roman CYR" w:cs="Times New Roman CYR"/>
                <w:color w:val="0000FF"/>
                <w:u w:val="single"/>
              </w:rPr>
              <w:t>http://www.cfin.ru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9.</w:t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Как разработать бизнес-план – Люксембург: Служба Тасис. Офис официальных изданий Европейского сообщества. – Май,1998г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10.</w:t>
            </w:r>
            <w:r>
              <w:rPr>
                <w:rFonts w:ascii="Times New Roman CYR" w:hAnsi="Times New Roman CYR" w:cs="Times New Roman CYR"/>
              </w:rPr>
              <w:tab/>
              <w:t>Леонтьев С.В., Ткаченко П.Н. Типовая методика разработки бизнес-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планов и анализа инвестиционных проектов с помощью тестовых таблиц/ Корпоративный менеджмент. Электронное издание – </w:t>
            </w:r>
            <w:r>
              <w:rPr>
                <w:rFonts w:ascii="Times New Roman CYR" w:hAnsi="Times New Roman CYR" w:cs="Times New Roman CYR"/>
                <w:color w:val="0000FF"/>
                <w:u w:val="single"/>
              </w:rPr>
              <w:t>http://www.cfin.ru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11.</w:t>
            </w:r>
            <w:r>
              <w:rPr>
                <w:rFonts w:ascii="Times New Roman CYR" w:hAnsi="Times New Roman CYR" w:cs="Times New Roman CYR"/>
              </w:rPr>
              <w:tab/>
              <w:t>Любанова Т.П., Мясоедова Л.В., Грамотенко Т.А., Олейникова Ю.А. Бизнес-план, Учебно-практическое пособие. – М.: Издательство ПРИОР, 1998.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12.</w:t>
            </w:r>
            <w:r>
              <w:rPr>
                <w:rFonts w:ascii="Times New Roman CYR" w:hAnsi="Times New Roman CYR" w:cs="Times New Roman CYR"/>
              </w:rPr>
              <w:tab/>
              <w:t xml:space="preserve">Официальный сайт Организации по промышленному развитию ООН (UNIDO). – </w:t>
            </w:r>
            <w:r>
              <w:rPr>
                <w:rFonts w:ascii="Times New Roman CYR" w:hAnsi="Times New Roman CYR" w:cs="Times New Roman CYR"/>
                <w:color w:val="0000FF"/>
                <w:u w:val="single"/>
              </w:rPr>
              <w:t>http://www.unido.org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</w:t>
            </w:r>
            <w:r>
              <w:rPr>
                <w:rFonts w:ascii="Times New Roman CYR" w:hAnsi="Times New Roman CYR" w:cs="Times New Roman CYR"/>
              </w:rPr>
              <w:tab/>
              <w:t xml:space="preserve">Стратегическое планирование / Под ред. Уткина Э.А. – М.: Ассоциация авторов и издателей “ТАНДЕМ”. Издательство ЭКМОС, 1998. 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14.</w:t>
            </w:r>
            <w:r>
              <w:rPr>
                <w:rFonts w:ascii="Times New Roman CYR" w:hAnsi="Times New Roman CYR" w:cs="Times New Roman CYR"/>
              </w:rPr>
              <w:tab/>
              <w:t>Управление инвестициями (в 2-х т.)/ Под общ.ред. В.В. Шеремета – М.:Высшая школа, 1998г.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</w:t>
            </w:r>
            <w:r>
              <w:rPr>
                <w:rFonts w:ascii="Times New Roman CYR" w:hAnsi="Times New Roman CYR" w:cs="Times New Roman CYR"/>
              </w:rPr>
              <w:tab/>
              <w:t>Уткин Э.А. Бизнес-план – М.:Экмос, 1998г.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16.</w:t>
            </w:r>
            <w:r>
              <w:rPr>
                <w:rFonts w:ascii="Times New Roman CYR" w:hAnsi="Times New Roman CYR" w:cs="Times New Roman CYR"/>
              </w:rPr>
              <w:tab/>
              <w:t>Уткин Э.А., Акотляр Б., Рапопорт Б.М. Бизнес планирование. Курс лекций – М.:Экмос, 2001 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before="100" w:after="100"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17.</w:t>
            </w:r>
            <w:r>
              <w:rPr>
                <w:rFonts w:ascii="Times New Roman CYR" w:hAnsi="Times New Roman CYR" w:cs="Times New Roman CYR"/>
              </w:rPr>
              <w:tab/>
              <w:t>Уткин Э.А., Кочетова А.И. Бизнес-план. Как развернуть собственное дело. – М.: АКАЛИС, 1996.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18.</w:t>
            </w:r>
            <w:r>
              <w:rPr>
                <w:rFonts w:ascii="Times New Roman CYR" w:hAnsi="Times New Roman CYR" w:cs="Times New Roman CYR"/>
              </w:rPr>
              <w:tab/>
              <w:t>Уткин Э.А.“Профессия  - менеджер”, Экономика, 1992г.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19.</w:t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Черняк В.З., Черняк А.В., Довиденко И.В. Бизнес планирование. Учебно-практическое пособие - М.: РДЛ, 2000г.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360" w:lineRule="auto"/>
              <w:ind w:left="420" w:hanging="4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20.</w:t>
            </w:r>
            <w:r>
              <w:rPr>
                <w:rFonts w:ascii="Times New Roman CYR" w:hAnsi="Times New Roman CYR" w:cs="Times New Roman CYR"/>
              </w:rPr>
              <w:tab/>
              <w:t>Шеремет А.Д.,  Сайфулин Р.С. Финансы предприятий – М.: Инфра-М, 2000г.</w:t>
            </w:r>
          </w:p>
        </w:tc>
      </w:tr>
      <w:tr w:rsidR="00AA4F94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AA4F94" w:rsidRDefault="00AA4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</w:tr>
    </w:tbl>
    <w:p w:rsidR="00AA4F94" w:rsidRDefault="00AA4F94" w:rsidP="00AA4F94">
      <w:pPr>
        <w:widowControl w:val="0"/>
        <w:tabs>
          <w:tab w:val="left" w:pos="1080"/>
        </w:tabs>
        <w:autoSpaceDE w:val="0"/>
        <w:autoSpaceDN w:val="0"/>
        <w:adjustRightInd w:val="0"/>
        <w:spacing w:line="312" w:lineRule="auto"/>
        <w:ind w:firstLine="400"/>
        <w:rPr>
          <w:rFonts w:ascii="Times New Roman CYR" w:hAnsi="Times New Roman CYR" w:cs="Times New Roman CYR"/>
          <w:sz w:val="20"/>
          <w:szCs w:val="20"/>
        </w:rPr>
      </w:pPr>
    </w:p>
    <w:p w:rsidR="00A55452" w:rsidRDefault="00A55452"/>
    <w:sectPr w:rsidR="00A55452" w:rsidSect="0025425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E44"/>
    <w:multiLevelType w:val="singleLevel"/>
    <w:tmpl w:val="CA663E1C"/>
    <w:lvl w:ilvl="0">
      <w:start w:val="72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2EE0DB0"/>
    <w:multiLevelType w:val="singleLevel"/>
    <w:tmpl w:val="C696DA5E"/>
    <w:lvl w:ilvl="0">
      <w:start w:val="15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4F722A0"/>
    <w:multiLevelType w:val="singleLevel"/>
    <w:tmpl w:val="C358C234"/>
    <w:lvl w:ilvl="0">
      <w:start w:val="126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065102E4"/>
    <w:multiLevelType w:val="singleLevel"/>
    <w:tmpl w:val="FCCCC89A"/>
    <w:lvl w:ilvl="0">
      <w:start w:val="18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11436CBA"/>
    <w:multiLevelType w:val="singleLevel"/>
    <w:tmpl w:val="AAAADA88"/>
    <w:lvl w:ilvl="0">
      <w:start w:val="189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12E806DC"/>
    <w:multiLevelType w:val="singleLevel"/>
    <w:tmpl w:val="EB4E8C2C"/>
    <w:lvl w:ilvl="0">
      <w:start w:val="12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13FC69CF"/>
    <w:multiLevelType w:val="singleLevel"/>
    <w:tmpl w:val="5378B65C"/>
    <w:lvl w:ilvl="0">
      <w:start w:val="95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15157D95"/>
    <w:multiLevelType w:val="singleLevel"/>
    <w:tmpl w:val="70BE965C"/>
    <w:lvl w:ilvl="0">
      <w:start w:val="49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1E3F0891"/>
    <w:multiLevelType w:val="singleLevel"/>
    <w:tmpl w:val="3F20421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23A81812"/>
    <w:multiLevelType w:val="singleLevel"/>
    <w:tmpl w:val="CA1ADD94"/>
    <w:lvl w:ilvl="0">
      <w:start w:val="182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>
    <w:nsid w:val="26C51B02"/>
    <w:multiLevelType w:val="singleLevel"/>
    <w:tmpl w:val="506A6F36"/>
    <w:lvl w:ilvl="0">
      <w:start w:val="86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1">
    <w:nsid w:val="26D626D8"/>
    <w:multiLevelType w:val="singleLevel"/>
    <w:tmpl w:val="6F381EC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32C61E77"/>
    <w:multiLevelType w:val="singleLevel"/>
    <w:tmpl w:val="EFB20802"/>
    <w:lvl w:ilvl="0">
      <w:start w:val="59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3">
    <w:nsid w:val="35DE531E"/>
    <w:multiLevelType w:val="singleLevel"/>
    <w:tmpl w:val="148A694A"/>
    <w:lvl w:ilvl="0">
      <w:start w:val="20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4">
    <w:nsid w:val="36CE448D"/>
    <w:multiLevelType w:val="singleLevel"/>
    <w:tmpl w:val="2D383312"/>
    <w:lvl w:ilvl="0">
      <w:start w:val="38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36FA59FC"/>
    <w:multiLevelType w:val="singleLevel"/>
    <w:tmpl w:val="A392990A"/>
    <w:lvl w:ilvl="0">
      <w:start w:val="15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6">
    <w:nsid w:val="37167F88"/>
    <w:multiLevelType w:val="singleLevel"/>
    <w:tmpl w:val="BEAC7ACC"/>
    <w:lvl w:ilvl="0">
      <w:start w:val="47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7">
    <w:nsid w:val="394E351A"/>
    <w:multiLevelType w:val="singleLevel"/>
    <w:tmpl w:val="1BF28CE4"/>
    <w:lvl w:ilvl="0">
      <w:start w:val="129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8">
    <w:nsid w:val="3B184EC8"/>
    <w:multiLevelType w:val="singleLevel"/>
    <w:tmpl w:val="D55CD50E"/>
    <w:lvl w:ilvl="0">
      <w:start w:val="27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9">
    <w:nsid w:val="3E1E4BE6"/>
    <w:multiLevelType w:val="singleLevel"/>
    <w:tmpl w:val="EFE6CE96"/>
    <w:lvl w:ilvl="0">
      <w:start w:val="10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0">
    <w:nsid w:val="3F141ECD"/>
    <w:multiLevelType w:val="singleLevel"/>
    <w:tmpl w:val="9BF8101E"/>
    <w:lvl w:ilvl="0">
      <w:start w:val="3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1">
    <w:nsid w:val="3F1678AC"/>
    <w:multiLevelType w:val="singleLevel"/>
    <w:tmpl w:val="A8D68F92"/>
    <w:lvl w:ilvl="0">
      <w:start w:val="19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>
    <w:nsid w:val="3F310C44"/>
    <w:multiLevelType w:val="singleLevel"/>
    <w:tmpl w:val="E2EE51FE"/>
    <w:lvl w:ilvl="0">
      <w:start w:val="130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3">
    <w:nsid w:val="454B07F0"/>
    <w:multiLevelType w:val="singleLevel"/>
    <w:tmpl w:val="A0FED2EA"/>
    <w:lvl w:ilvl="0">
      <w:start w:val="6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4">
    <w:nsid w:val="47F712F8"/>
    <w:multiLevelType w:val="singleLevel"/>
    <w:tmpl w:val="78245912"/>
    <w:lvl w:ilvl="0">
      <w:start w:val="53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5">
    <w:nsid w:val="480935DF"/>
    <w:multiLevelType w:val="singleLevel"/>
    <w:tmpl w:val="2C6688C8"/>
    <w:lvl w:ilvl="0">
      <w:start w:val="42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6">
    <w:nsid w:val="4A0F5ED5"/>
    <w:multiLevelType w:val="singleLevel"/>
    <w:tmpl w:val="F82C3E14"/>
    <w:lvl w:ilvl="0">
      <w:start w:val="175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7">
    <w:nsid w:val="510D2EAC"/>
    <w:multiLevelType w:val="singleLevel"/>
    <w:tmpl w:val="1CA08624"/>
    <w:lvl w:ilvl="0">
      <w:start w:val="32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8">
    <w:nsid w:val="558A4BFD"/>
    <w:multiLevelType w:val="singleLevel"/>
    <w:tmpl w:val="4C28F190"/>
    <w:lvl w:ilvl="0">
      <w:start w:val="196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9">
    <w:nsid w:val="5BCE44DC"/>
    <w:multiLevelType w:val="singleLevel"/>
    <w:tmpl w:val="6F381EC8"/>
    <w:lvl w:ilvl="0">
      <w:start w:val="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0">
    <w:nsid w:val="60416F2A"/>
    <w:multiLevelType w:val="singleLevel"/>
    <w:tmpl w:val="6F381EC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1">
    <w:nsid w:val="659E29E2"/>
    <w:multiLevelType w:val="singleLevel"/>
    <w:tmpl w:val="0F241864"/>
    <w:lvl w:ilvl="0">
      <w:start w:val="1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2">
    <w:nsid w:val="66B02D8B"/>
    <w:multiLevelType w:val="singleLevel"/>
    <w:tmpl w:val="CE787D48"/>
    <w:lvl w:ilvl="0">
      <w:start w:val="14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3">
    <w:nsid w:val="70280AC1"/>
    <w:multiLevelType w:val="singleLevel"/>
    <w:tmpl w:val="6F381EC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4">
    <w:nsid w:val="74466018"/>
    <w:multiLevelType w:val="singleLevel"/>
    <w:tmpl w:val="22127AC2"/>
    <w:lvl w:ilvl="0">
      <w:start w:val="165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5">
    <w:nsid w:val="76F448F4"/>
    <w:multiLevelType w:val="singleLevel"/>
    <w:tmpl w:val="C4882770"/>
    <w:lvl w:ilvl="0">
      <w:start w:val="11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6">
    <w:nsid w:val="78F81168"/>
    <w:multiLevelType w:val="singleLevel"/>
    <w:tmpl w:val="532E9E26"/>
    <w:lvl w:ilvl="0">
      <w:start w:val="14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7">
    <w:nsid w:val="7D1C5F41"/>
    <w:multiLevelType w:val="singleLevel"/>
    <w:tmpl w:val="D70C77E6"/>
    <w:lvl w:ilvl="0">
      <w:start w:val="45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30"/>
  </w:num>
  <w:num w:numId="2">
    <w:abstractNumId w:val="3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3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33"/>
  </w:num>
  <w:num w:numId="5">
    <w:abstractNumId w:val="3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33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33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1"/>
  </w:num>
  <w:num w:numId="9">
    <w:abstractNumId w:val="1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1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29"/>
  </w:num>
  <w:num w:numId="12">
    <w:abstractNumId w:val="29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29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29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29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29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29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31"/>
  </w:num>
  <w:num w:numId="19">
    <w:abstractNumId w:val="31"/>
    <w:lvlOverride w:ilvl="0">
      <w:lvl w:ilvl="0">
        <w:start w:val="1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31"/>
    <w:lvlOverride w:ilvl="0">
      <w:lvl w:ilvl="0">
        <w:start w:val="1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31"/>
    <w:lvlOverride w:ilvl="0">
      <w:lvl w:ilvl="0">
        <w:start w:val="1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1"/>
  </w:num>
  <w:num w:numId="23">
    <w:abstractNumId w:val="1"/>
    <w:lvlOverride w:ilvl="0">
      <w:lvl w:ilvl="0">
        <w:start w:val="1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1"/>
    <w:lvlOverride w:ilvl="0">
      <w:lvl w:ilvl="0">
        <w:start w:val="1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"/>
    <w:lvlOverride w:ilvl="0">
      <w:lvl w:ilvl="0">
        <w:start w:val="1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1"/>
    <w:lvlOverride w:ilvl="0">
      <w:lvl w:ilvl="0">
        <w:start w:val="1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13"/>
  </w:num>
  <w:num w:numId="28">
    <w:abstractNumId w:val="13"/>
    <w:lvlOverride w:ilvl="0">
      <w:lvl w:ilvl="0">
        <w:start w:val="2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13"/>
    <w:lvlOverride w:ilvl="0">
      <w:lvl w:ilvl="0">
        <w:start w:val="2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13"/>
    <w:lvlOverride w:ilvl="0">
      <w:lvl w:ilvl="0">
        <w:start w:val="2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13"/>
    <w:lvlOverride w:ilvl="0">
      <w:lvl w:ilvl="0">
        <w:start w:val="2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13"/>
    <w:lvlOverride w:ilvl="0">
      <w:lvl w:ilvl="0">
        <w:start w:val="2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13"/>
    <w:lvlOverride w:ilvl="0">
      <w:lvl w:ilvl="0">
        <w:start w:val="2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18"/>
  </w:num>
  <w:num w:numId="35">
    <w:abstractNumId w:val="18"/>
    <w:lvlOverride w:ilvl="0">
      <w:lvl w:ilvl="0">
        <w:start w:val="2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18"/>
    <w:lvlOverride w:ilvl="0">
      <w:lvl w:ilvl="0">
        <w:start w:val="2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18"/>
    <w:lvlOverride w:ilvl="0">
      <w:lvl w:ilvl="0">
        <w:start w:val="3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18"/>
    <w:lvlOverride w:ilvl="0">
      <w:lvl w:ilvl="0">
        <w:start w:val="3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27"/>
  </w:num>
  <w:num w:numId="40">
    <w:abstractNumId w:val="20"/>
  </w:num>
  <w:num w:numId="41">
    <w:abstractNumId w:val="20"/>
    <w:lvlOverride w:ilvl="0">
      <w:lvl w:ilvl="0">
        <w:start w:val="3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2">
    <w:abstractNumId w:val="20"/>
    <w:lvlOverride w:ilvl="0">
      <w:lvl w:ilvl="0">
        <w:start w:val="3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3">
    <w:abstractNumId w:val="20"/>
    <w:lvlOverride w:ilvl="0">
      <w:lvl w:ilvl="0">
        <w:start w:val="3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4">
    <w:abstractNumId w:val="20"/>
    <w:lvlOverride w:ilvl="0">
      <w:lvl w:ilvl="0">
        <w:start w:val="3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5">
    <w:abstractNumId w:val="14"/>
  </w:num>
  <w:num w:numId="46">
    <w:abstractNumId w:val="14"/>
    <w:lvlOverride w:ilvl="0">
      <w:lvl w:ilvl="0">
        <w:start w:val="3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7">
    <w:abstractNumId w:val="14"/>
    <w:lvlOverride w:ilvl="0">
      <w:lvl w:ilvl="0">
        <w:start w:val="4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8">
    <w:abstractNumId w:val="14"/>
    <w:lvlOverride w:ilvl="0">
      <w:lvl w:ilvl="0">
        <w:start w:val="4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9">
    <w:abstractNumId w:val="25"/>
  </w:num>
  <w:num w:numId="50">
    <w:abstractNumId w:val="25"/>
    <w:lvlOverride w:ilvl="0">
      <w:lvl w:ilvl="0">
        <w:start w:val="4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1">
    <w:abstractNumId w:val="25"/>
    <w:lvlOverride w:ilvl="0">
      <w:lvl w:ilvl="0">
        <w:start w:val="4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2">
    <w:abstractNumId w:val="37"/>
  </w:num>
  <w:num w:numId="53">
    <w:abstractNumId w:val="37"/>
    <w:lvlOverride w:ilvl="0">
      <w:lvl w:ilvl="0">
        <w:start w:val="4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4">
    <w:abstractNumId w:val="16"/>
  </w:num>
  <w:num w:numId="55">
    <w:abstractNumId w:val="16"/>
    <w:lvlOverride w:ilvl="0">
      <w:lvl w:ilvl="0">
        <w:start w:val="4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6">
    <w:abstractNumId w:val="7"/>
  </w:num>
  <w:num w:numId="57">
    <w:abstractNumId w:val="7"/>
    <w:lvlOverride w:ilvl="0">
      <w:lvl w:ilvl="0">
        <w:start w:val="5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7"/>
    <w:lvlOverride w:ilvl="0">
      <w:lvl w:ilvl="0">
        <w:start w:val="5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9">
    <w:abstractNumId w:val="7"/>
    <w:lvlOverride w:ilvl="0">
      <w:lvl w:ilvl="0">
        <w:start w:val="5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0">
    <w:abstractNumId w:val="24"/>
  </w:num>
  <w:num w:numId="61">
    <w:abstractNumId w:val="24"/>
    <w:lvlOverride w:ilvl="0">
      <w:lvl w:ilvl="0">
        <w:start w:val="5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2">
    <w:abstractNumId w:val="24"/>
    <w:lvlOverride w:ilvl="0">
      <w:lvl w:ilvl="0">
        <w:start w:val="5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3">
    <w:abstractNumId w:val="24"/>
    <w:lvlOverride w:ilvl="0">
      <w:lvl w:ilvl="0">
        <w:start w:val="5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4">
    <w:abstractNumId w:val="24"/>
    <w:lvlOverride w:ilvl="0">
      <w:lvl w:ilvl="0">
        <w:start w:val="5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5">
    <w:abstractNumId w:val="24"/>
    <w:lvlOverride w:ilvl="0">
      <w:lvl w:ilvl="0">
        <w:start w:val="5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6">
    <w:abstractNumId w:val="12"/>
  </w:num>
  <w:num w:numId="67">
    <w:abstractNumId w:val="12"/>
    <w:lvlOverride w:ilvl="0">
      <w:lvl w:ilvl="0">
        <w:start w:val="6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8">
    <w:abstractNumId w:val="12"/>
    <w:lvlOverride w:ilvl="0">
      <w:lvl w:ilvl="0">
        <w:start w:val="6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9">
    <w:abstractNumId w:val="12"/>
    <w:lvlOverride w:ilvl="0">
      <w:lvl w:ilvl="0">
        <w:start w:val="6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0">
    <w:abstractNumId w:val="12"/>
    <w:lvlOverride w:ilvl="0">
      <w:lvl w:ilvl="0">
        <w:start w:val="6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1">
    <w:abstractNumId w:val="23"/>
  </w:num>
  <w:num w:numId="72">
    <w:abstractNumId w:val="23"/>
    <w:lvlOverride w:ilvl="0">
      <w:lvl w:ilvl="0">
        <w:start w:val="6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3">
    <w:abstractNumId w:val="23"/>
    <w:lvlOverride w:ilvl="0">
      <w:lvl w:ilvl="0">
        <w:start w:val="6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4">
    <w:abstractNumId w:val="23"/>
    <w:lvlOverride w:ilvl="0">
      <w:lvl w:ilvl="0">
        <w:start w:val="6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5">
    <w:abstractNumId w:val="23"/>
    <w:lvlOverride w:ilvl="0">
      <w:lvl w:ilvl="0">
        <w:start w:val="6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6">
    <w:abstractNumId w:val="23"/>
    <w:lvlOverride w:ilvl="0">
      <w:lvl w:ilvl="0">
        <w:start w:val="6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7">
    <w:abstractNumId w:val="23"/>
    <w:lvlOverride w:ilvl="0">
      <w:lvl w:ilvl="0">
        <w:start w:val="7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8">
    <w:abstractNumId w:val="23"/>
    <w:lvlOverride w:ilvl="0">
      <w:lvl w:ilvl="0">
        <w:start w:val="7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9">
    <w:abstractNumId w:val="0"/>
  </w:num>
  <w:num w:numId="80">
    <w:abstractNumId w:val="0"/>
    <w:lvlOverride w:ilvl="0">
      <w:lvl w:ilvl="0">
        <w:start w:val="7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1">
    <w:abstractNumId w:val="0"/>
    <w:lvlOverride w:ilvl="0">
      <w:lvl w:ilvl="0">
        <w:start w:val="7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2">
    <w:abstractNumId w:val="0"/>
    <w:lvlOverride w:ilvl="0">
      <w:lvl w:ilvl="0">
        <w:start w:val="7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3">
    <w:abstractNumId w:val="0"/>
    <w:lvlOverride w:ilvl="0">
      <w:lvl w:ilvl="0">
        <w:start w:val="7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4">
    <w:abstractNumId w:val="0"/>
    <w:lvlOverride w:ilvl="0">
      <w:lvl w:ilvl="0">
        <w:start w:val="7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5">
    <w:abstractNumId w:val="0"/>
    <w:lvlOverride w:ilvl="0">
      <w:lvl w:ilvl="0">
        <w:start w:val="7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6">
    <w:abstractNumId w:val="0"/>
    <w:lvlOverride w:ilvl="0">
      <w:lvl w:ilvl="0">
        <w:start w:val="7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7">
    <w:abstractNumId w:val="0"/>
    <w:lvlOverride w:ilvl="0">
      <w:lvl w:ilvl="0">
        <w:start w:val="8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8">
    <w:abstractNumId w:val="0"/>
    <w:lvlOverride w:ilvl="0">
      <w:lvl w:ilvl="0">
        <w:start w:val="8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9">
    <w:abstractNumId w:val="0"/>
    <w:lvlOverride w:ilvl="0">
      <w:lvl w:ilvl="0">
        <w:start w:val="8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0">
    <w:abstractNumId w:val="0"/>
    <w:lvlOverride w:ilvl="0">
      <w:lvl w:ilvl="0">
        <w:start w:val="8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1">
    <w:abstractNumId w:val="0"/>
    <w:lvlOverride w:ilvl="0">
      <w:lvl w:ilvl="0">
        <w:start w:val="8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2">
    <w:abstractNumId w:val="0"/>
    <w:lvlOverride w:ilvl="0">
      <w:lvl w:ilvl="0">
        <w:start w:val="8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3">
    <w:abstractNumId w:val="10"/>
  </w:num>
  <w:num w:numId="94">
    <w:abstractNumId w:val="10"/>
    <w:lvlOverride w:ilvl="0">
      <w:lvl w:ilvl="0">
        <w:start w:val="8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5">
    <w:abstractNumId w:val="10"/>
    <w:lvlOverride w:ilvl="0">
      <w:lvl w:ilvl="0">
        <w:start w:val="8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6">
    <w:abstractNumId w:val="10"/>
    <w:lvlOverride w:ilvl="0">
      <w:lvl w:ilvl="0">
        <w:start w:val="8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7">
    <w:abstractNumId w:val="10"/>
    <w:lvlOverride w:ilvl="0">
      <w:lvl w:ilvl="0">
        <w:start w:val="9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8">
    <w:abstractNumId w:val="10"/>
    <w:lvlOverride w:ilvl="0">
      <w:lvl w:ilvl="0">
        <w:start w:val="9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9">
    <w:abstractNumId w:val="10"/>
    <w:lvlOverride w:ilvl="0">
      <w:lvl w:ilvl="0">
        <w:start w:val="9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0">
    <w:abstractNumId w:val="10"/>
    <w:lvlOverride w:ilvl="0">
      <w:lvl w:ilvl="0">
        <w:start w:val="9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1">
    <w:abstractNumId w:val="10"/>
    <w:lvlOverride w:ilvl="0">
      <w:lvl w:ilvl="0">
        <w:start w:val="9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2">
    <w:abstractNumId w:val="6"/>
  </w:num>
  <w:num w:numId="103">
    <w:abstractNumId w:val="6"/>
    <w:lvlOverride w:ilvl="0">
      <w:lvl w:ilvl="0">
        <w:start w:val="9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4">
    <w:abstractNumId w:val="6"/>
    <w:lvlOverride w:ilvl="0">
      <w:lvl w:ilvl="0">
        <w:start w:val="9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5">
    <w:abstractNumId w:val="6"/>
    <w:lvlOverride w:ilvl="0">
      <w:lvl w:ilvl="0">
        <w:start w:val="9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6">
    <w:abstractNumId w:val="6"/>
    <w:lvlOverride w:ilvl="0">
      <w:lvl w:ilvl="0">
        <w:start w:val="9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7">
    <w:abstractNumId w:val="6"/>
    <w:lvlOverride w:ilvl="0">
      <w:lvl w:ilvl="0">
        <w:start w:val="10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8">
    <w:abstractNumId w:val="6"/>
    <w:lvlOverride w:ilvl="0">
      <w:lvl w:ilvl="0">
        <w:start w:val="10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9">
    <w:abstractNumId w:val="6"/>
    <w:lvlOverride w:ilvl="0">
      <w:lvl w:ilvl="0">
        <w:start w:val="10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0">
    <w:abstractNumId w:val="19"/>
  </w:num>
  <w:num w:numId="111">
    <w:abstractNumId w:val="19"/>
    <w:lvlOverride w:ilvl="0">
      <w:lvl w:ilvl="0">
        <w:start w:val="10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2">
    <w:abstractNumId w:val="19"/>
    <w:lvlOverride w:ilvl="0">
      <w:lvl w:ilvl="0">
        <w:start w:val="10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3">
    <w:abstractNumId w:val="19"/>
    <w:lvlOverride w:ilvl="0">
      <w:lvl w:ilvl="0">
        <w:start w:val="10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4">
    <w:abstractNumId w:val="19"/>
    <w:lvlOverride w:ilvl="0">
      <w:lvl w:ilvl="0">
        <w:start w:val="10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5">
    <w:abstractNumId w:val="19"/>
    <w:lvlOverride w:ilvl="0">
      <w:lvl w:ilvl="0">
        <w:start w:val="10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6">
    <w:abstractNumId w:val="19"/>
    <w:lvlOverride w:ilvl="0">
      <w:lvl w:ilvl="0">
        <w:start w:val="10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7">
    <w:abstractNumId w:val="19"/>
    <w:lvlOverride w:ilvl="0">
      <w:lvl w:ilvl="0">
        <w:start w:val="1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8">
    <w:abstractNumId w:val="19"/>
    <w:lvlOverride w:ilvl="0">
      <w:lvl w:ilvl="0">
        <w:start w:val="11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9">
    <w:abstractNumId w:val="19"/>
    <w:lvlOverride w:ilvl="0">
      <w:lvl w:ilvl="0">
        <w:start w:val="11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0">
    <w:abstractNumId w:val="19"/>
    <w:lvlOverride w:ilvl="0">
      <w:lvl w:ilvl="0">
        <w:start w:val="11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1">
    <w:abstractNumId w:val="35"/>
  </w:num>
  <w:num w:numId="122">
    <w:abstractNumId w:val="35"/>
    <w:lvlOverride w:ilvl="0">
      <w:lvl w:ilvl="0">
        <w:start w:val="11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3">
    <w:abstractNumId w:val="35"/>
    <w:lvlOverride w:ilvl="0">
      <w:lvl w:ilvl="0">
        <w:start w:val="11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4">
    <w:abstractNumId w:val="35"/>
    <w:lvlOverride w:ilvl="0">
      <w:lvl w:ilvl="0">
        <w:start w:val="11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5">
    <w:abstractNumId w:val="35"/>
    <w:lvlOverride w:ilvl="0">
      <w:lvl w:ilvl="0">
        <w:start w:val="11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6">
    <w:abstractNumId w:val="35"/>
    <w:lvlOverride w:ilvl="0">
      <w:lvl w:ilvl="0">
        <w:start w:val="11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7">
    <w:abstractNumId w:val="35"/>
    <w:lvlOverride w:ilvl="0">
      <w:lvl w:ilvl="0">
        <w:start w:val="12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8">
    <w:abstractNumId w:val="5"/>
  </w:num>
  <w:num w:numId="129">
    <w:abstractNumId w:val="5"/>
    <w:lvlOverride w:ilvl="0">
      <w:lvl w:ilvl="0">
        <w:start w:val="12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0">
    <w:abstractNumId w:val="5"/>
    <w:lvlOverride w:ilvl="0">
      <w:lvl w:ilvl="0">
        <w:start w:val="12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1">
    <w:abstractNumId w:val="5"/>
    <w:lvlOverride w:ilvl="0">
      <w:lvl w:ilvl="0">
        <w:start w:val="12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2">
    <w:abstractNumId w:val="5"/>
    <w:lvlOverride w:ilvl="0">
      <w:lvl w:ilvl="0">
        <w:start w:val="12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3">
    <w:abstractNumId w:val="2"/>
  </w:num>
  <w:num w:numId="134">
    <w:abstractNumId w:val="2"/>
    <w:lvlOverride w:ilvl="0">
      <w:lvl w:ilvl="0">
        <w:start w:val="12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5">
    <w:abstractNumId w:val="2"/>
    <w:lvlOverride w:ilvl="0">
      <w:lvl w:ilvl="0">
        <w:start w:val="12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6">
    <w:abstractNumId w:val="17"/>
  </w:num>
  <w:num w:numId="137">
    <w:abstractNumId w:val="22"/>
  </w:num>
  <w:num w:numId="138">
    <w:abstractNumId w:val="22"/>
    <w:lvlOverride w:ilvl="0">
      <w:lvl w:ilvl="0">
        <w:start w:val="13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9">
    <w:abstractNumId w:val="22"/>
    <w:lvlOverride w:ilvl="0">
      <w:lvl w:ilvl="0">
        <w:start w:val="13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0">
    <w:abstractNumId w:val="22"/>
    <w:lvlOverride w:ilvl="0">
      <w:lvl w:ilvl="0">
        <w:start w:val="13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1">
    <w:abstractNumId w:val="22"/>
    <w:lvlOverride w:ilvl="0">
      <w:lvl w:ilvl="0">
        <w:start w:val="13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2">
    <w:abstractNumId w:val="22"/>
    <w:lvlOverride w:ilvl="0">
      <w:lvl w:ilvl="0">
        <w:start w:val="13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3">
    <w:abstractNumId w:val="22"/>
    <w:lvlOverride w:ilvl="0">
      <w:lvl w:ilvl="0">
        <w:start w:val="13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4">
    <w:abstractNumId w:val="22"/>
    <w:lvlOverride w:ilvl="0">
      <w:lvl w:ilvl="0">
        <w:start w:val="13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5">
    <w:abstractNumId w:val="22"/>
    <w:lvlOverride w:ilvl="0">
      <w:lvl w:ilvl="0">
        <w:start w:val="13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6">
    <w:abstractNumId w:val="22"/>
    <w:lvlOverride w:ilvl="0">
      <w:lvl w:ilvl="0">
        <w:start w:val="13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7">
    <w:abstractNumId w:val="22"/>
    <w:lvlOverride w:ilvl="0">
      <w:lvl w:ilvl="0">
        <w:start w:val="14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8">
    <w:abstractNumId w:val="32"/>
  </w:num>
  <w:num w:numId="149">
    <w:abstractNumId w:val="32"/>
    <w:lvlOverride w:ilvl="0">
      <w:lvl w:ilvl="0">
        <w:start w:val="14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0">
    <w:abstractNumId w:val="32"/>
    <w:lvlOverride w:ilvl="0">
      <w:lvl w:ilvl="0">
        <w:start w:val="14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1">
    <w:abstractNumId w:val="36"/>
  </w:num>
  <w:num w:numId="152">
    <w:abstractNumId w:val="36"/>
    <w:lvlOverride w:ilvl="0">
      <w:lvl w:ilvl="0">
        <w:start w:val="14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3">
    <w:abstractNumId w:val="36"/>
    <w:lvlOverride w:ilvl="0">
      <w:lvl w:ilvl="0">
        <w:start w:val="14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4">
    <w:abstractNumId w:val="36"/>
    <w:lvlOverride w:ilvl="0">
      <w:lvl w:ilvl="0">
        <w:start w:val="14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5">
    <w:abstractNumId w:val="36"/>
    <w:lvlOverride w:ilvl="0">
      <w:lvl w:ilvl="0">
        <w:start w:val="14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6">
    <w:abstractNumId w:val="36"/>
    <w:lvlOverride w:ilvl="0">
      <w:lvl w:ilvl="0">
        <w:start w:val="14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7">
    <w:abstractNumId w:val="36"/>
    <w:lvlOverride w:ilvl="0">
      <w:lvl w:ilvl="0">
        <w:start w:val="15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8">
    <w:abstractNumId w:val="36"/>
    <w:lvlOverride w:ilvl="0">
      <w:lvl w:ilvl="0">
        <w:start w:val="15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9">
    <w:abstractNumId w:val="36"/>
    <w:lvlOverride w:ilvl="0">
      <w:lvl w:ilvl="0">
        <w:start w:val="15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0">
    <w:abstractNumId w:val="36"/>
    <w:lvlOverride w:ilvl="0">
      <w:lvl w:ilvl="0">
        <w:start w:val="15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1">
    <w:abstractNumId w:val="15"/>
  </w:num>
  <w:num w:numId="162">
    <w:abstractNumId w:val="15"/>
    <w:lvlOverride w:ilvl="0">
      <w:lvl w:ilvl="0">
        <w:start w:val="15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3">
    <w:abstractNumId w:val="15"/>
    <w:lvlOverride w:ilvl="0">
      <w:lvl w:ilvl="0">
        <w:start w:val="15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4">
    <w:abstractNumId w:val="15"/>
    <w:lvlOverride w:ilvl="0">
      <w:lvl w:ilvl="0">
        <w:start w:val="15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5">
    <w:abstractNumId w:val="15"/>
    <w:lvlOverride w:ilvl="0">
      <w:lvl w:ilvl="0">
        <w:start w:val="15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6">
    <w:abstractNumId w:val="15"/>
    <w:lvlOverride w:ilvl="0">
      <w:lvl w:ilvl="0">
        <w:start w:val="15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7">
    <w:abstractNumId w:val="15"/>
    <w:lvlOverride w:ilvl="0">
      <w:lvl w:ilvl="0">
        <w:start w:val="16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8">
    <w:abstractNumId w:val="15"/>
    <w:lvlOverride w:ilvl="0">
      <w:lvl w:ilvl="0">
        <w:start w:val="16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9">
    <w:abstractNumId w:val="15"/>
    <w:lvlOverride w:ilvl="0">
      <w:lvl w:ilvl="0">
        <w:start w:val="16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0">
    <w:abstractNumId w:val="15"/>
    <w:lvlOverride w:ilvl="0">
      <w:lvl w:ilvl="0">
        <w:start w:val="16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1">
    <w:abstractNumId w:val="15"/>
    <w:lvlOverride w:ilvl="0">
      <w:lvl w:ilvl="0">
        <w:start w:val="16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2">
    <w:abstractNumId w:val="34"/>
  </w:num>
  <w:num w:numId="173">
    <w:abstractNumId w:val="34"/>
    <w:lvlOverride w:ilvl="0">
      <w:lvl w:ilvl="0">
        <w:start w:val="16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4">
    <w:abstractNumId w:val="34"/>
    <w:lvlOverride w:ilvl="0">
      <w:lvl w:ilvl="0">
        <w:start w:val="16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5">
    <w:abstractNumId w:val="34"/>
    <w:lvlOverride w:ilvl="0">
      <w:lvl w:ilvl="0">
        <w:start w:val="16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6">
    <w:abstractNumId w:val="34"/>
    <w:lvlOverride w:ilvl="0">
      <w:lvl w:ilvl="0">
        <w:start w:val="16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7">
    <w:abstractNumId w:val="34"/>
    <w:lvlOverride w:ilvl="0">
      <w:lvl w:ilvl="0">
        <w:start w:val="17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8">
    <w:abstractNumId w:val="34"/>
    <w:lvlOverride w:ilvl="0">
      <w:lvl w:ilvl="0">
        <w:start w:val="17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9">
    <w:abstractNumId w:val="34"/>
    <w:lvlOverride w:ilvl="0">
      <w:lvl w:ilvl="0">
        <w:start w:val="17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0">
    <w:abstractNumId w:val="34"/>
    <w:lvlOverride w:ilvl="0">
      <w:lvl w:ilvl="0">
        <w:start w:val="17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1">
    <w:abstractNumId w:val="34"/>
    <w:lvlOverride w:ilvl="0">
      <w:lvl w:ilvl="0">
        <w:start w:val="17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2">
    <w:abstractNumId w:val="26"/>
  </w:num>
  <w:num w:numId="183">
    <w:abstractNumId w:val="26"/>
    <w:lvlOverride w:ilvl="0">
      <w:lvl w:ilvl="0">
        <w:start w:val="17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4">
    <w:abstractNumId w:val="26"/>
    <w:lvlOverride w:ilvl="0">
      <w:lvl w:ilvl="0">
        <w:start w:val="17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5">
    <w:abstractNumId w:val="26"/>
    <w:lvlOverride w:ilvl="0">
      <w:lvl w:ilvl="0">
        <w:start w:val="17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6">
    <w:abstractNumId w:val="26"/>
    <w:lvlOverride w:ilvl="0">
      <w:lvl w:ilvl="0">
        <w:start w:val="17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7">
    <w:abstractNumId w:val="26"/>
    <w:lvlOverride w:ilvl="0">
      <w:lvl w:ilvl="0">
        <w:start w:val="18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8">
    <w:abstractNumId w:val="26"/>
    <w:lvlOverride w:ilvl="0">
      <w:lvl w:ilvl="0">
        <w:start w:val="18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9">
    <w:abstractNumId w:val="9"/>
  </w:num>
  <w:num w:numId="190">
    <w:abstractNumId w:val="9"/>
    <w:lvlOverride w:ilvl="0">
      <w:lvl w:ilvl="0">
        <w:start w:val="18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1">
    <w:abstractNumId w:val="3"/>
  </w:num>
  <w:num w:numId="192">
    <w:abstractNumId w:val="3"/>
    <w:lvlOverride w:ilvl="0">
      <w:lvl w:ilvl="0">
        <w:start w:val="18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3">
    <w:abstractNumId w:val="3"/>
    <w:lvlOverride w:ilvl="0">
      <w:lvl w:ilvl="0">
        <w:start w:val="18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4">
    <w:abstractNumId w:val="3"/>
    <w:lvlOverride w:ilvl="0">
      <w:lvl w:ilvl="0">
        <w:start w:val="18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5">
    <w:abstractNumId w:val="3"/>
    <w:lvlOverride w:ilvl="0">
      <w:lvl w:ilvl="0">
        <w:start w:val="18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6">
    <w:abstractNumId w:val="4"/>
  </w:num>
  <w:num w:numId="197">
    <w:abstractNumId w:val="4"/>
    <w:lvlOverride w:ilvl="0">
      <w:lvl w:ilvl="0">
        <w:start w:val="19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8">
    <w:abstractNumId w:val="4"/>
    <w:lvlOverride w:ilvl="0">
      <w:lvl w:ilvl="0">
        <w:start w:val="19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9">
    <w:abstractNumId w:val="4"/>
    <w:lvlOverride w:ilvl="0">
      <w:lvl w:ilvl="0">
        <w:start w:val="19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0">
    <w:abstractNumId w:val="4"/>
    <w:lvlOverride w:ilvl="0">
      <w:lvl w:ilvl="0">
        <w:start w:val="19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1">
    <w:abstractNumId w:val="21"/>
  </w:num>
  <w:num w:numId="202">
    <w:abstractNumId w:val="21"/>
    <w:lvlOverride w:ilvl="0">
      <w:lvl w:ilvl="0">
        <w:start w:val="19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3">
    <w:abstractNumId w:val="28"/>
  </w:num>
  <w:num w:numId="204">
    <w:abstractNumId w:val="28"/>
    <w:lvlOverride w:ilvl="0">
      <w:lvl w:ilvl="0">
        <w:start w:val="19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5">
    <w:abstractNumId w:val="28"/>
    <w:lvlOverride w:ilvl="0">
      <w:lvl w:ilvl="0">
        <w:start w:val="19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6">
    <w:abstractNumId w:val="8"/>
  </w:num>
  <w:num w:numId="207">
    <w:abstractNumId w:val="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8">
    <w:abstractNumId w:val="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9">
    <w:abstractNumId w:val="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0">
    <w:abstractNumId w:val="8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1">
    <w:abstractNumId w:val="8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2">
    <w:abstractNumId w:val="8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IdMacAtCleanup w:val="2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AA4F94"/>
    <w:rsid w:val="00752A57"/>
    <w:rsid w:val="00802C99"/>
    <w:rsid w:val="00A55452"/>
    <w:rsid w:val="00AA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93</Pages>
  <Words>18375</Words>
  <Characters>104744</Characters>
  <Application>Microsoft Office Word</Application>
  <DocSecurity>0</DocSecurity>
  <Lines>872</Lines>
  <Paragraphs>245</Paragraphs>
  <ScaleCrop>false</ScaleCrop>
  <Company/>
  <LinksUpToDate>false</LinksUpToDate>
  <CharactersWithSpaces>122874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КАМИЛА</dc:creator>
  <cp:keywords/>
  <dc:description/>
  <cp:lastModifiedBy>КАМИЛА</cp:lastModifiedBy>
  <cp:revision>1</cp:revision>
  <dcterms:created xsi:type="dcterms:W3CDTF">2007-10-25T05:46:00Z</dcterms:created>
  <dcterms:modified xsi:type="dcterms:W3CDTF">2007-10-25T05:46:00Z</dcterms:modified>
</cp:coreProperties>
</file>